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4E375" w14:textId="52C9FE67" w:rsidR="001E63AE" w:rsidRPr="009C76E6" w:rsidRDefault="001E63AE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Supplementary Materials</w:t>
      </w:r>
    </w:p>
    <w:p w14:paraId="4CE10B29" w14:textId="77777777" w:rsidR="001E63AE" w:rsidRPr="009C76E6" w:rsidRDefault="001E63AE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7C6E061E" w14:textId="7311EC53" w:rsidR="001E63AE" w:rsidRPr="009C76E6" w:rsidRDefault="001E63AE" w:rsidP="001E63AE">
      <w:pPr>
        <w:spacing w:line="480" w:lineRule="auto"/>
        <w:rPr>
          <w:rFonts w:ascii="Arial" w:hAnsi="Arial" w:cs="Arial"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Title: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Semorinemab</w:t>
      </w:r>
      <w:proofErr w:type="spell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Pharmacokinetics and The Effect on Plasma Total Tau Pharmacodynamics in Clinical Studies.</w:t>
      </w:r>
    </w:p>
    <w:p w14:paraId="44CAEF8D" w14:textId="77777777" w:rsidR="001E63AE" w:rsidRPr="009C76E6" w:rsidRDefault="001E63AE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08A58A61" w14:textId="7BB4A3CD" w:rsidR="001E63AE" w:rsidRPr="009C76E6" w:rsidRDefault="001E63AE" w:rsidP="001E63AE">
      <w:pPr>
        <w:spacing w:line="480" w:lineRule="auto"/>
        <w:rPr>
          <w:rFonts w:ascii="Arial" w:hAnsi="Arial" w:cs="Arial"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Authors: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Vidya Ramakrishnan, Brendan Bender, Jurgen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Langenhorst</w:t>
      </w:r>
      <w:proofErr w:type="spell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, Mats O. Magnusson, Michael Dolton,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Jeongsup</w:t>
      </w:r>
      <w:proofErr w:type="spell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Shim, Reina</w:t>
      </w:r>
      <w:r w:rsidR="003E12D9" w:rsidRPr="009C76E6">
        <w:rPr>
          <w:rFonts w:ascii="Arial" w:hAnsi="Arial" w:cs="Arial"/>
          <w:color w:val="000000" w:themeColor="text1"/>
          <w:sz w:val="22"/>
          <w:szCs w:val="22"/>
        </w:rPr>
        <w:t xml:space="preserve"> N.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Fuji, Cecilia Monteiro, Edmond Teng,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Nastya</w:t>
      </w:r>
      <w:proofErr w:type="spell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Kassir</w:t>
      </w:r>
      <w:proofErr w:type="spell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Jin</w:t>
      </w:r>
      <w:proofErr w:type="spell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9C76E6">
        <w:rPr>
          <w:rFonts w:ascii="Arial" w:hAnsi="Arial" w:cs="Arial"/>
          <w:color w:val="000000" w:themeColor="text1"/>
          <w:sz w:val="22"/>
          <w:szCs w:val="22"/>
        </w:rPr>
        <w:t>Jin</w:t>
      </w:r>
      <w:proofErr w:type="spellEnd"/>
    </w:p>
    <w:p w14:paraId="505AC404" w14:textId="77777777" w:rsidR="001E63AE" w:rsidRPr="009C76E6" w:rsidRDefault="001E63AE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1DF213F" w14:textId="31B6E422" w:rsidR="000278AB" w:rsidRPr="009C76E6" w:rsidRDefault="00EE0680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Supplementary Figures</w:t>
      </w:r>
    </w:p>
    <w:p w14:paraId="066D8AD5" w14:textId="3373AF19" w:rsidR="009910B5" w:rsidRPr="009C76E6" w:rsidRDefault="009910B5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7E486F43" w14:textId="5E70106E" w:rsidR="00851DEB" w:rsidRPr="009C76E6" w:rsidRDefault="009910B5" w:rsidP="009910B5">
      <w:pPr>
        <w:spacing w:line="480" w:lineRule="auto"/>
        <w:rPr>
          <w:rFonts w:ascii="Arial" w:hAnsi="Arial" w:cs="Arial"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Supplement</w:t>
      </w:r>
      <w:r w:rsidR="001446B1"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al</w:t>
      </w: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Fig</w:t>
      </w:r>
      <w:r w:rsidR="005B65DF"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ure</w:t>
      </w: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1</w:t>
      </w:r>
      <w:r w:rsidR="00851DEB"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: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851DEB"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Conditional weighted residual plots of the final model. 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>Conditional weighted residuals versus population predictions and time since first dose for the final model. Data is presented with a logarithmic x-axis.</w:t>
      </w:r>
    </w:p>
    <w:p w14:paraId="4D674AEB" w14:textId="77777777" w:rsidR="00851DEB" w:rsidRPr="009C76E6" w:rsidRDefault="00851DEB" w:rsidP="009910B5">
      <w:pPr>
        <w:spacing w:line="480" w:lineRule="auto"/>
        <w:rPr>
          <w:rFonts w:ascii="Arial" w:hAnsi="Arial" w:cs="Arial"/>
          <w:color w:val="000000" w:themeColor="text1"/>
          <w:sz w:val="22"/>
          <w:szCs w:val="22"/>
        </w:rPr>
      </w:pPr>
    </w:p>
    <w:p w14:paraId="781121E1" w14:textId="32957533" w:rsidR="009910B5" w:rsidRPr="009C76E6" w:rsidRDefault="00851DEB">
      <w:pPr>
        <w:rPr>
          <w:color w:val="000000" w:themeColor="text1"/>
        </w:rPr>
      </w:pPr>
      <w:r w:rsidRPr="009C76E6">
        <w:rPr>
          <w:noProof/>
          <w:color w:val="000000" w:themeColor="text1"/>
        </w:rPr>
        <w:drawing>
          <wp:inline distT="0" distB="0" distL="0" distR="0" wp14:anchorId="59E5EF63" wp14:editId="6AC60AA7">
            <wp:extent cx="5943600" cy="36087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DFB8C" w14:textId="5567F16A" w:rsidR="00C65A6A" w:rsidRPr="009C76E6" w:rsidRDefault="00C65A6A">
      <w:pPr>
        <w:rPr>
          <w:color w:val="000000" w:themeColor="text1"/>
        </w:rPr>
      </w:pPr>
    </w:p>
    <w:p w14:paraId="0FA55B42" w14:textId="55AAAE18" w:rsidR="00C65A6A" w:rsidRPr="009C76E6" w:rsidRDefault="00C65A6A">
      <w:pPr>
        <w:rPr>
          <w:color w:val="000000" w:themeColor="text1"/>
        </w:rPr>
      </w:pPr>
    </w:p>
    <w:p w14:paraId="15A9D7F7" w14:textId="64191480" w:rsidR="00C65A6A" w:rsidRPr="009C76E6" w:rsidRDefault="00C65A6A" w:rsidP="00C65A6A">
      <w:pPr>
        <w:spacing w:line="480" w:lineRule="auto"/>
        <w:rPr>
          <w:rFonts w:ascii="Arial" w:hAnsi="Arial" w:cs="Arial"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Supplemental Figure 2: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Target engagement prediction by </w:t>
      </w:r>
      <w:proofErr w:type="gramStart"/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body-weight</w:t>
      </w:r>
      <w:proofErr w:type="gramEnd"/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. 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Forest plots illustrating the predicted peripheral target engagement for the final model at different doses with varying </w:t>
      </w:r>
      <w:proofErr w:type="gramStart"/>
      <w:r w:rsidRPr="009C76E6">
        <w:rPr>
          <w:rFonts w:ascii="Arial" w:hAnsi="Arial" w:cs="Arial"/>
          <w:color w:val="000000" w:themeColor="text1"/>
          <w:sz w:val="22"/>
          <w:szCs w:val="22"/>
        </w:rPr>
        <w:t>body-weight</w:t>
      </w:r>
      <w:proofErr w:type="gramEnd"/>
      <w:r w:rsidRPr="009C76E6">
        <w:rPr>
          <w:rFonts w:ascii="Arial" w:hAnsi="Arial" w:cs="Arial"/>
          <w:color w:val="000000" w:themeColor="text1"/>
          <w:sz w:val="22"/>
          <w:szCs w:val="22"/>
        </w:rPr>
        <w:t xml:space="preserve"> of subjects</w:t>
      </w:r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>. The low and high body weights listed in the plot are the 2.5</w:t>
      </w:r>
      <w:r w:rsidR="00713381" w:rsidRPr="009C76E6">
        <w:rPr>
          <w:rFonts w:ascii="Arial" w:hAnsi="Arial" w:cs="Arial"/>
          <w:color w:val="000000" w:themeColor="text1"/>
          <w:sz w:val="22"/>
          <w:szCs w:val="22"/>
          <w:vertAlign w:val="superscript"/>
        </w:rPr>
        <w:t>th</w:t>
      </w:r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 xml:space="preserve"> and 97.5</w:t>
      </w:r>
      <w:r w:rsidR="00713381" w:rsidRPr="009C76E6">
        <w:rPr>
          <w:rFonts w:ascii="Arial" w:hAnsi="Arial" w:cs="Arial"/>
          <w:color w:val="000000" w:themeColor="text1"/>
          <w:sz w:val="22"/>
          <w:szCs w:val="22"/>
          <w:vertAlign w:val="superscript"/>
        </w:rPr>
        <w:t>th</w:t>
      </w:r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 xml:space="preserve"> percentile </w:t>
      </w:r>
      <w:proofErr w:type="gramStart"/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>body-weight</w:t>
      </w:r>
      <w:proofErr w:type="gramEnd"/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 xml:space="preserve"> in the analysis data</w:t>
      </w:r>
      <w:r w:rsidRPr="009C76E6">
        <w:rPr>
          <w:rFonts w:ascii="Arial" w:hAnsi="Arial" w:cs="Arial"/>
          <w:color w:val="000000" w:themeColor="text1"/>
          <w:sz w:val="22"/>
          <w:szCs w:val="22"/>
        </w:rPr>
        <w:t>. Values are calculated based on 200 sampled parameter vectors from the distribution of parameter estimates of a 25-sample non-parametric bootstrap.</w:t>
      </w:r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 xml:space="preserve"> The reference subject is a 70 kg subject with Alzheimer’s disease receiving a 4500 mg dose of </w:t>
      </w:r>
      <w:proofErr w:type="spellStart"/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>semorinemab</w:t>
      </w:r>
      <w:proofErr w:type="spellEnd"/>
      <w:r w:rsidR="00713381" w:rsidRPr="009C76E6">
        <w:rPr>
          <w:rFonts w:ascii="Arial" w:hAnsi="Arial" w:cs="Arial"/>
          <w:color w:val="000000" w:themeColor="text1"/>
          <w:sz w:val="22"/>
          <w:szCs w:val="22"/>
        </w:rPr>
        <w:t>.</w:t>
      </w:r>
    </w:p>
    <w:p w14:paraId="7AD49161" w14:textId="14F48DF4" w:rsidR="00C65A6A" w:rsidRPr="009C76E6" w:rsidRDefault="00713381" w:rsidP="00C65A6A">
      <w:pPr>
        <w:spacing w:line="480" w:lineRule="auto"/>
        <w:rPr>
          <w:color w:val="000000" w:themeColor="text1"/>
        </w:rPr>
      </w:pPr>
      <w:r w:rsidRPr="009C76E6">
        <w:rPr>
          <w:noProof/>
          <w:color w:val="000000" w:themeColor="text1"/>
        </w:rPr>
        <w:lastRenderedPageBreak/>
        <w:drawing>
          <wp:inline distT="0" distB="0" distL="0" distR="0" wp14:anchorId="04F68669" wp14:editId="128FE373">
            <wp:extent cx="5943600" cy="71323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F381" w14:textId="77777777" w:rsidR="00EE0680" w:rsidRPr="009C76E6" w:rsidRDefault="00EE0680" w:rsidP="00C65A6A">
      <w:pPr>
        <w:spacing w:line="480" w:lineRule="auto"/>
        <w:rPr>
          <w:color w:val="000000" w:themeColor="text1"/>
        </w:rPr>
      </w:pPr>
    </w:p>
    <w:p w14:paraId="21CB7E18" w14:textId="77777777" w:rsidR="00EE0680" w:rsidRPr="009C76E6" w:rsidRDefault="00EE0680" w:rsidP="00C65A6A">
      <w:pPr>
        <w:spacing w:line="480" w:lineRule="auto"/>
        <w:rPr>
          <w:color w:val="000000" w:themeColor="text1"/>
        </w:rPr>
      </w:pPr>
    </w:p>
    <w:p w14:paraId="5EBBB42F" w14:textId="77777777" w:rsidR="002F2BEF" w:rsidRPr="009C76E6" w:rsidRDefault="002F2BEF" w:rsidP="00EE0680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7C8B17CF" w14:textId="141AAF17" w:rsidR="00EE0680" w:rsidRPr="009C76E6" w:rsidRDefault="00EE0680" w:rsidP="00EE0680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Supplementary Tables</w:t>
      </w:r>
    </w:p>
    <w:p w14:paraId="537CD214" w14:textId="77777777" w:rsidR="00EE0680" w:rsidRPr="009C76E6" w:rsidRDefault="00EE0680" w:rsidP="00EE0680">
      <w:pPr>
        <w:rPr>
          <w:b/>
          <w:bCs/>
          <w:color w:val="000000" w:themeColor="text1"/>
          <w:sz w:val="22"/>
          <w:szCs w:val="22"/>
        </w:rPr>
      </w:pPr>
    </w:p>
    <w:p w14:paraId="5D70B833" w14:textId="0BD46881" w:rsidR="00EE0680" w:rsidRPr="009C76E6" w:rsidRDefault="00EE0680" w:rsidP="00EE0680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Supplementary Table 1 – Overview of </w:t>
      </w:r>
      <w:proofErr w:type="spellStart"/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>semorinemab</w:t>
      </w:r>
      <w:proofErr w:type="spellEnd"/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clinical studies</w:t>
      </w:r>
    </w:p>
    <w:p w14:paraId="48575A90" w14:textId="77777777" w:rsidR="00EE0680" w:rsidRPr="009C76E6" w:rsidRDefault="00EE0680" w:rsidP="00EE0680">
      <w:pPr>
        <w:rPr>
          <w:rFonts w:ascii="Arial" w:hAnsi="Arial" w:cs="Arial"/>
          <w:b/>
          <w:bCs/>
          <w:color w:val="000000" w:themeColor="text1"/>
        </w:rPr>
      </w:pPr>
    </w:p>
    <w:tbl>
      <w:tblPr>
        <w:tblStyle w:val="Grilledutableau"/>
        <w:tblW w:w="9445" w:type="dxa"/>
        <w:tblLook w:val="04A0" w:firstRow="1" w:lastRow="0" w:firstColumn="1" w:lastColumn="0" w:noHBand="0" w:noVBand="1"/>
      </w:tblPr>
      <w:tblGrid>
        <w:gridCol w:w="1132"/>
        <w:gridCol w:w="1023"/>
        <w:gridCol w:w="2287"/>
        <w:gridCol w:w="2502"/>
        <w:gridCol w:w="2501"/>
      </w:tblGrid>
      <w:tr w:rsidR="009C76E6" w:rsidRPr="009C76E6" w14:paraId="6959585F" w14:textId="77777777" w:rsidTr="00902A89">
        <w:tc>
          <w:tcPr>
            <w:tcW w:w="1132" w:type="dxa"/>
          </w:tcPr>
          <w:p w14:paraId="5A3A1E94" w14:textId="77777777" w:rsidR="00EE0680" w:rsidRPr="009C76E6" w:rsidRDefault="00EE0680" w:rsidP="00902A89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Study</w:t>
            </w:r>
          </w:p>
        </w:tc>
        <w:tc>
          <w:tcPr>
            <w:tcW w:w="1023" w:type="dxa"/>
          </w:tcPr>
          <w:p w14:paraId="02B3EC8F" w14:textId="77777777" w:rsidR="00EE0680" w:rsidRPr="009C76E6" w:rsidRDefault="00EE0680" w:rsidP="00902A89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Phase</w:t>
            </w:r>
          </w:p>
        </w:tc>
        <w:tc>
          <w:tcPr>
            <w:tcW w:w="2287" w:type="dxa"/>
          </w:tcPr>
          <w:p w14:paraId="4B86E6CA" w14:textId="77777777" w:rsidR="00EE0680" w:rsidRPr="009C76E6" w:rsidRDefault="00EE0680" w:rsidP="00902A89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Design</w:t>
            </w:r>
          </w:p>
        </w:tc>
        <w:tc>
          <w:tcPr>
            <w:tcW w:w="2502" w:type="dxa"/>
          </w:tcPr>
          <w:p w14:paraId="1150C01C" w14:textId="77777777" w:rsidR="00EE0680" w:rsidRPr="009C76E6" w:rsidRDefault="00EE0680" w:rsidP="00902A89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Treatments</w:t>
            </w:r>
          </w:p>
        </w:tc>
        <w:tc>
          <w:tcPr>
            <w:tcW w:w="2501" w:type="dxa"/>
          </w:tcPr>
          <w:p w14:paraId="61E6ABCA" w14:textId="77777777" w:rsidR="00EE0680" w:rsidRPr="009C76E6" w:rsidRDefault="00EE0680" w:rsidP="00902A89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Subjects</w:t>
            </w:r>
          </w:p>
        </w:tc>
      </w:tr>
      <w:tr w:rsidR="009C76E6" w:rsidRPr="009C76E6" w14:paraId="366DD1DB" w14:textId="77777777" w:rsidTr="00902A89">
        <w:tc>
          <w:tcPr>
            <w:tcW w:w="1132" w:type="dxa"/>
          </w:tcPr>
          <w:p w14:paraId="23A0153F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GN39058</w:t>
            </w:r>
          </w:p>
        </w:tc>
        <w:tc>
          <w:tcPr>
            <w:tcW w:w="1023" w:type="dxa"/>
          </w:tcPr>
          <w:p w14:paraId="4F5BD87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Phase I</w:t>
            </w:r>
          </w:p>
        </w:tc>
        <w:tc>
          <w:tcPr>
            <w:tcW w:w="2287" w:type="dxa"/>
          </w:tcPr>
          <w:p w14:paraId="118C517B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Randomized</w:t>
            </w:r>
          </w:p>
          <w:p w14:paraId="4F1EA603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Placebo-controlled</w:t>
            </w:r>
          </w:p>
          <w:p w14:paraId="65D3A21F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Double-blinded</w:t>
            </w:r>
          </w:p>
          <w:p w14:paraId="02FF61B9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Single ascending dose</w:t>
            </w:r>
          </w:p>
          <w:p w14:paraId="1A549D3F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Multiple ascending dose</w:t>
            </w:r>
          </w:p>
        </w:tc>
        <w:tc>
          <w:tcPr>
            <w:tcW w:w="2502" w:type="dxa"/>
          </w:tcPr>
          <w:p w14:paraId="3B2145B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Participants receive </w:t>
            </w:r>
            <w:proofErr w:type="spellStart"/>
            <w:proofErr w:type="gram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Semorinemab</w:t>
            </w:r>
            <w:proofErr w:type="spell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or</w:t>
            </w:r>
            <w:proofErr w:type="gram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matching dose of placebo</w:t>
            </w:r>
          </w:p>
          <w:p w14:paraId="067C676F" w14:textId="77777777" w:rsidR="00EE0680" w:rsidRPr="009C76E6" w:rsidRDefault="00EE0680" w:rsidP="00902A89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14:paraId="6D98BAA7" w14:textId="77777777" w:rsidR="00EE0680" w:rsidRPr="009C76E6" w:rsidRDefault="00EE0680" w:rsidP="00902A89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Single ascending dose</w:t>
            </w:r>
          </w:p>
          <w:p w14:paraId="173D94C1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IV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       225 mg</w:t>
            </w:r>
          </w:p>
          <w:p w14:paraId="30805BCC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    675 mg</w:t>
            </w:r>
          </w:p>
          <w:p w14:paraId="474E76F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  2100 mg</w:t>
            </w:r>
          </w:p>
          <w:p w14:paraId="283734CE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  4200 mg</w:t>
            </w:r>
          </w:p>
          <w:p w14:paraId="68F19076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  8400 mg</w:t>
            </w:r>
          </w:p>
          <w:p w14:paraId="163FDF9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16800 mg</w:t>
            </w:r>
          </w:p>
          <w:p w14:paraId="2B71DD8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4A4C61EE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SC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    1200 mg</w:t>
            </w:r>
          </w:p>
          <w:p w14:paraId="6F55B1C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4592736A" w14:textId="77777777" w:rsidR="00EE0680" w:rsidRPr="009C76E6" w:rsidRDefault="00EE0680" w:rsidP="00902A89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Multiple ascending dose</w:t>
            </w:r>
          </w:p>
          <w:p w14:paraId="1E628C0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IV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    8400 mg Q1W x 4</w:t>
            </w:r>
          </w:p>
          <w:p w14:paraId="45A33001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501" w:type="dxa"/>
          </w:tcPr>
          <w:p w14:paraId="20755E12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Healthy Volunteers</w:t>
            </w:r>
          </w:p>
          <w:p w14:paraId="51A6ABDC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Age –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18-80 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yr</w:t>
            </w:r>
            <w:proofErr w:type="spellEnd"/>
          </w:p>
          <w:p w14:paraId="021BF02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 = 65</w:t>
            </w:r>
          </w:p>
          <w:p w14:paraId="04D93B8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IV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– Six Cohorts</w:t>
            </w:r>
          </w:p>
          <w:p w14:paraId="1CCE3DDC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Drug:placebo</w:t>
            </w:r>
            <w:proofErr w:type="spellEnd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ratio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- 6:2</w:t>
            </w:r>
          </w:p>
          <w:p w14:paraId="2F27DCC9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274DE23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SC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– One cohort</w:t>
            </w:r>
          </w:p>
          <w:p w14:paraId="71ED021E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Drug:placebo</w:t>
            </w:r>
            <w:proofErr w:type="spellEnd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ratio – 12:0</w:t>
            </w:r>
          </w:p>
          <w:p w14:paraId="2C772F70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73639CCC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4F833864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 Patients</w:t>
            </w:r>
          </w:p>
          <w:p w14:paraId="78173EF3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 = 10</w:t>
            </w:r>
          </w:p>
          <w:p w14:paraId="2ED6DC53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Age </w:t>
            </w:r>
            <w:proofErr w:type="gramStart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-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50</w:t>
            </w:r>
            <w:proofErr w:type="gram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-80 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yrs</w:t>
            </w:r>
            <w:proofErr w:type="spellEnd"/>
          </w:p>
          <w:p w14:paraId="03CF3326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IV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– One cohort</w:t>
            </w:r>
          </w:p>
          <w:p w14:paraId="3EE9E7DC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Drug:placebo</w:t>
            </w:r>
            <w:proofErr w:type="spellEnd"/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ratio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- 6:2</w:t>
            </w:r>
          </w:p>
          <w:p w14:paraId="2E70BF76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9C76E6" w:rsidRPr="009C76E6" w14:paraId="2BCCE428" w14:textId="77777777" w:rsidTr="00902A89">
        <w:tc>
          <w:tcPr>
            <w:tcW w:w="1132" w:type="dxa"/>
          </w:tcPr>
          <w:p w14:paraId="2E189D0B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GN39763</w:t>
            </w:r>
          </w:p>
          <w:p w14:paraId="014D8AB6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(Tauriel Study)</w:t>
            </w:r>
          </w:p>
        </w:tc>
        <w:tc>
          <w:tcPr>
            <w:tcW w:w="1023" w:type="dxa"/>
          </w:tcPr>
          <w:p w14:paraId="16CF282F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Phase II</w:t>
            </w:r>
          </w:p>
        </w:tc>
        <w:tc>
          <w:tcPr>
            <w:tcW w:w="2287" w:type="dxa"/>
          </w:tcPr>
          <w:p w14:paraId="2445522B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Randomized</w:t>
            </w:r>
          </w:p>
          <w:p w14:paraId="126DF85B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Placebo-controlled</w:t>
            </w:r>
          </w:p>
          <w:p w14:paraId="1FDD63C9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Double-blinded</w:t>
            </w:r>
          </w:p>
          <w:p w14:paraId="0B49D201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gram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Parallel-group</w:t>
            </w:r>
            <w:proofErr w:type="gram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(97 sites)</w:t>
            </w:r>
          </w:p>
          <w:p w14:paraId="2A0A2022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Efficacy and Safety Study</w:t>
            </w:r>
          </w:p>
          <w:p w14:paraId="617F772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Multi-dose</w:t>
            </w:r>
          </w:p>
        </w:tc>
        <w:tc>
          <w:tcPr>
            <w:tcW w:w="2502" w:type="dxa"/>
          </w:tcPr>
          <w:p w14:paraId="720BF21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Participants receive 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Semorinemab</w:t>
            </w:r>
            <w:proofErr w:type="spell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or matching dose of placebo</w:t>
            </w:r>
          </w:p>
          <w:p w14:paraId="4F5364C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4D4EDD7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IV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-      1500 mg</w:t>
            </w:r>
          </w:p>
          <w:p w14:paraId="65932BFE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   4500 mg</w:t>
            </w:r>
          </w:p>
          <w:p w14:paraId="5A0BA296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        8100 mg</w:t>
            </w:r>
          </w:p>
          <w:p w14:paraId="0B69433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6045407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Q2W for doses 1-3 and Q4W for doses thereafter</w:t>
            </w:r>
          </w:p>
          <w:p w14:paraId="5BC7161B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7FA7F3D4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Treatment Period – 73 weeks </w:t>
            </w:r>
          </w:p>
          <w:p w14:paraId="69420D0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501" w:type="dxa"/>
          </w:tcPr>
          <w:p w14:paraId="25FB309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 Patients</w:t>
            </w:r>
          </w:p>
          <w:p w14:paraId="308409A4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Age 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- 50-80 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yrs</w:t>
            </w:r>
            <w:proofErr w:type="spellEnd"/>
          </w:p>
          <w:p w14:paraId="5472AAEC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N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= 457</w:t>
            </w:r>
          </w:p>
          <w:p w14:paraId="4E14117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72EF44D1" w14:textId="77777777" w:rsidR="00EE0680" w:rsidRPr="009C76E6" w:rsidRDefault="00EE0680" w:rsidP="00902A89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Randomization </w:t>
            </w:r>
          </w:p>
          <w:p w14:paraId="602FFB69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2:3:2:3 (</w:t>
            </w:r>
            <w:proofErr w:type="gram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1500:4500:8100:placebo</w:t>
            </w:r>
            <w:proofErr w:type="gram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</w:tr>
      <w:tr w:rsidR="009C76E6" w:rsidRPr="009C76E6" w14:paraId="5D72F615" w14:textId="77777777" w:rsidTr="00902A89">
        <w:tc>
          <w:tcPr>
            <w:tcW w:w="1132" w:type="dxa"/>
          </w:tcPr>
          <w:p w14:paraId="6E59936B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GN40040</w:t>
            </w:r>
          </w:p>
          <w:p w14:paraId="7D79553F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Lauriet</w:t>
            </w:r>
            <w:proofErr w:type="spell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Study)</w:t>
            </w:r>
          </w:p>
          <w:p w14:paraId="32C848F3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23" w:type="dxa"/>
          </w:tcPr>
          <w:p w14:paraId="48A35DE1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Phase II</w:t>
            </w:r>
          </w:p>
        </w:tc>
        <w:tc>
          <w:tcPr>
            <w:tcW w:w="2287" w:type="dxa"/>
          </w:tcPr>
          <w:p w14:paraId="3E556525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Randomized</w:t>
            </w:r>
          </w:p>
          <w:p w14:paraId="6D15FF33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Placebo-controlled</w:t>
            </w:r>
          </w:p>
          <w:p w14:paraId="7FEC41A8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Double-blinded</w:t>
            </w:r>
          </w:p>
          <w:p w14:paraId="259FCD15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gram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Parallel-group</w:t>
            </w:r>
            <w:proofErr w:type="gram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(49 sites)</w:t>
            </w:r>
          </w:p>
          <w:p w14:paraId="7E8B6CA0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Efficacy and Safety Study</w:t>
            </w:r>
          </w:p>
          <w:p w14:paraId="45D339B3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Multi-dose</w:t>
            </w:r>
          </w:p>
        </w:tc>
        <w:tc>
          <w:tcPr>
            <w:tcW w:w="2502" w:type="dxa"/>
          </w:tcPr>
          <w:p w14:paraId="5359605E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Participants receive 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Semorinemab</w:t>
            </w:r>
            <w:proofErr w:type="spellEnd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or matching dose of placebo</w:t>
            </w:r>
          </w:p>
          <w:p w14:paraId="26D2D5E9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0165045F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IV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-       4500 mg</w:t>
            </w:r>
          </w:p>
          <w:p w14:paraId="1B6550E2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18DCB390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Q2W for doses 1-3 and Q4W for doses thereafter</w:t>
            </w:r>
          </w:p>
          <w:p w14:paraId="65E168E6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13822FF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Treatment Period – 48 weeks (or 60 </w:t>
            </w:r>
            <w:proofErr w:type="gram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weeks)*</w:t>
            </w:r>
            <w:proofErr w:type="gramEnd"/>
          </w:p>
          <w:p w14:paraId="0477B26A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501" w:type="dxa"/>
          </w:tcPr>
          <w:p w14:paraId="7F043424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 Patients</w:t>
            </w:r>
          </w:p>
          <w:p w14:paraId="5F514CA7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Age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50 – 85 </w:t>
            </w:r>
            <w:proofErr w:type="spellStart"/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yrs</w:t>
            </w:r>
            <w:proofErr w:type="spellEnd"/>
          </w:p>
          <w:p w14:paraId="4CF67B02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 = 272</w:t>
            </w:r>
          </w:p>
          <w:p w14:paraId="26D9DB7D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0EC60322" w14:textId="77777777" w:rsidR="00EE0680" w:rsidRPr="009C76E6" w:rsidRDefault="00EE0680" w:rsidP="00902A8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C76E6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Randomization</w:t>
            </w:r>
            <w:r w:rsidRPr="009C76E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1:1</w:t>
            </w:r>
          </w:p>
        </w:tc>
      </w:tr>
    </w:tbl>
    <w:p w14:paraId="1E576F74" w14:textId="77777777" w:rsidR="00EE0680" w:rsidRPr="009C76E6" w:rsidRDefault="00EE0680" w:rsidP="00EE0680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9C76E6">
        <w:rPr>
          <w:rFonts w:ascii="Arial" w:hAnsi="Arial" w:cs="Arial"/>
          <w:b/>
          <w:bCs/>
          <w:color w:val="000000" w:themeColor="text1"/>
        </w:rPr>
        <w:t>*</w:t>
      </w:r>
      <w:r w:rsidRPr="009C76E6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9C76E6">
        <w:rPr>
          <w:rFonts w:ascii="Times New Roman" w:hAnsi="Times New Roman" w:cs="Times New Roman"/>
          <w:color w:val="000000" w:themeColor="text1"/>
          <w:sz w:val="16"/>
          <w:szCs w:val="16"/>
        </w:rPr>
        <w:t>Due to COVID-19, blinded period of the study was extended to 60 weeks for participants who missed at least one dose of study drug during the pandemic. Participants were given a supplemental Q2W dose if ≥2 consecutive missed study drug infusions</w:t>
      </w:r>
    </w:p>
    <w:p w14:paraId="1B5B773B" w14:textId="0120B63A" w:rsidR="00EE0680" w:rsidRPr="009C76E6" w:rsidRDefault="00EE0680" w:rsidP="00EE0680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C76E6">
        <w:rPr>
          <w:rFonts w:ascii="Arial" w:hAnsi="Arial" w:cs="Arial"/>
          <w:b/>
          <w:bCs/>
          <w:color w:val="000000" w:themeColor="text1"/>
        </w:rPr>
        <w:br w:type="page"/>
      </w:r>
      <w:r w:rsidRPr="009C76E6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Supplementary Table 2 Model parameter estimates</w:t>
      </w:r>
    </w:p>
    <w:p w14:paraId="1EF9CDDB" w14:textId="77777777" w:rsidR="00EE0680" w:rsidRPr="009C76E6" w:rsidRDefault="00EE0680" w:rsidP="00EE0680">
      <w:pPr>
        <w:rPr>
          <w:rFonts w:ascii="Arial" w:hAnsi="Arial" w:cs="Arial"/>
          <w:b/>
          <w:bCs/>
          <w:color w:val="000000" w:themeColor="text1"/>
        </w:rPr>
      </w:pPr>
    </w:p>
    <w:tbl>
      <w:tblPr>
        <w:tblStyle w:val="Grilledutableau"/>
        <w:tblpPr w:leftFromText="180" w:rightFromText="180" w:horzAnchor="margin" w:tblpY="586"/>
        <w:tblW w:w="0" w:type="auto"/>
        <w:tblLook w:val="04A0" w:firstRow="1" w:lastRow="0" w:firstColumn="1" w:lastColumn="0" w:noHBand="0" w:noVBand="1"/>
      </w:tblPr>
      <w:tblGrid>
        <w:gridCol w:w="2340"/>
        <w:gridCol w:w="2065"/>
        <w:gridCol w:w="1530"/>
        <w:gridCol w:w="1980"/>
        <w:gridCol w:w="939"/>
      </w:tblGrid>
      <w:tr w:rsidR="009C76E6" w:rsidRPr="009C76E6" w14:paraId="093ED657" w14:textId="77777777" w:rsidTr="00902A89">
        <w:tc>
          <w:tcPr>
            <w:tcW w:w="2340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05AFF9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0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CCE3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Description</w:t>
            </w:r>
          </w:p>
        </w:tc>
        <w:tc>
          <w:tcPr>
            <w:tcW w:w="1530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14:paraId="7C5056B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Unit</w:t>
            </w:r>
          </w:p>
        </w:tc>
        <w:tc>
          <w:tcPr>
            <w:tcW w:w="1980" w:type="dxa"/>
            <w:tcBorders>
              <w:left w:val="nil"/>
              <w:bottom w:val="single" w:sz="4" w:space="0" w:color="auto"/>
              <w:right w:val="nil"/>
            </w:tcBorders>
          </w:tcPr>
          <w:p w14:paraId="311BADF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Final Model Value</w:t>
            </w:r>
          </w:p>
        </w:tc>
        <w:tc>
          <w:tcPr>
            <w:tcW w:w="939" w:type="dxa"/>
            <w:tcBorders>
              <w:left w:val="nil"/>
              <w:bottom w:val="single" w:sz="4" w:space="0" w:color="auto"/>
              <w:right w:val="nil"/>
            </w:tcBorders>
          </w:tcPr>
          <w:p w14:paraId="0DEE47A2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gram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RSE(</w:t>
            </w:r>
            <w:proofErr w:type="gramEnd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%)</w:t>
            </w:r>
          </w:p>
        </w:tc>
      </w:tr>
      <w:tr w:rsidR="009C76E6" w:rsidRPr="009C76E6" w14:paraId="2B52F084" w14:textId="77777777" w:rsidTr="00902A89">
        <w:trPr>
          <w:trHeight w:val="289"/>
        </w:trPr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4AB17BD5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CL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5E8650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Clearance from central compartment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F77D446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L/Day/70kg 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172D0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0.109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B27A78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1.38</w:t>
            </w:r>
          </w:p>
        </w:tc>
      </w:tr>
      <w:tr w:rsidR="009C76E6" w:rsidRPr="009C76E6" w14:paraId="4576C5D6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7E1B5D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c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09FAA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Central compartment volume of distribution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E1DB0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L/70kg 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9D10E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2.95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9F75C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1.11</w:t>
            </w:r>
          </w:p>
        </w:tc>
      </w:tr>
      <w:tr w:rsidR="009C76E6" w:rsidRPr="009C76E6" w14:paraId="5E311B8D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8907B7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p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DD13B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Peripheral compartment volume of distribution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4B2A95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L/70Kg 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AD3F5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2.75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63C2B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4.98</w:t>
            </w:r>
          </w:p>
        </w:tc>
      </w:tr>
      <w:tr w:rsidR="009C76E6" w:rsidRPr="009C76E6" w14:paraId="4E4CDCAD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CFAD7D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Q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781B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Inter-compartmental clearance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71F52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L/Day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F9533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0.643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FA81A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25.7</w:t>
            </w:r>
          </w:p>
        </w:tc>
      </w:tr>
      <w:tr w:rsidR="009C76E6" w:rsidRPr="009C76E6" w14:paraId="3CD9BA66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5BAC01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F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686476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Bioavailability for SC administration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E2D39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DB2D3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0.679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62015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9.51</w:t>
            </w:r>
          </w:p>
        </w:tc>
      </w:tr>
      <w:tr w:rsidR="009C76E6" w:rsidRPr="009C76E6" w14:paraId="130068D2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7D0AE7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Exponent for WT on CL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C151F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Effect of weight on CL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73131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AFBAB6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0.675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9AA6DE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5.21</w:t>
            </w:r>
          </w:p>
        </w:tc>
      </w:tr>
      <w:tr w:rsidR="009C76E6" w:rsidRPr="009C76E6" w14:paraId="48FB68E2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1C1EF6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Exponent for WT on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c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0ABF6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Effect of weight on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c</w:t>
            </w:r>
            <w:proofErr w:type="spellEnd"/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5CA81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9F2A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0.700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CF624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5.47</w:t>
            </w:r>
          </w:p>
        </w:tc>
      </w:tr>
      <w:tr w:rsidR="009C76E6" w:rsidRPr="009C76E6" w14:paraId="50B9D82B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FF38D6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Exponent for WT on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p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857AF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Effect of weight on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p</w:t>
            </w:r>
            <w:proofErr w:type="spellEnd"/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CA626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2E67E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0.639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5407BE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14.1</w:t>
            </w:r>
          </w:p>
        </w:tc>
      </w:tr>
      <w:tr w:rsidR="009C76E6" w:rsidRPr="009C76E6" w14:paraId="67E53716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4A6C2C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IN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HV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8B78B5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Unbound tau formation rate constant for healthy volunteers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A2698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nM</w:t>
            </w:r>
            <w:proofErr w:type="spellEnd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/Day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B66B15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0.703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36C9B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4.74</w:t>
            </w:r>
          </w:p>
        </w:tc>
      </w:tr>
      <w:tr w:rsidR="009C76E6" w:rsidRPr="009C76E6" w14:paraId="3B039FD5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F7F3D6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IN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AD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62A2C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Unbound tau formation rate constant for patients with AD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0BA5C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nM</w:t>
            </w:r>
            <w:proofErr w:type="spellEnd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/Day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E2A17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1.04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58856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4.26</w:t>
            </w:r>
          </w:p>
        </w:tc>
      </w:tr>
      <w:tr w:rsidR="009C76E6" w:rsidRPr="009C76E6" w14:paraId="34AC13E7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517842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T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1/2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36650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Unbound tau degradation half-life 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CD82B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Days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1DB9BE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0.311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6B9E7E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4.65</w:t>
            </w:r>
          </w:p>
        </w:tc>
      </w:tr>
      <w:tr w:rsidR="009C76E6" w:rsidRPr="009C76E6" w14:paraId="42AD8450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8844D6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COMP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99282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Degradation rate constant of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Semorinemab</w:t>
            </w:r>
            <w:proofErr w:type="spellEnd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-Tau complexation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A6369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/Day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87F65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0.0935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028B7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3.29</w:t>
            </w:r>
          </w:p>
        </w:tc>
      </w:tr>
      <w:tr w:rsidR="009C76E6" w:rsidRPr="009C76E6" w14:paraId="0DD119C9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5B9C55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SS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D51B2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Constant in the quasi-steady state approximation TMDD model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7FCB5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nM</w:t>
            </w:r>
            <w:proofErr w:type="spellEnd"/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A87B1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42.7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87A4F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10.7</w:t>
            </w:r>
          </w:p>
        </w:tc>
      </w:tr>
      <w:tr w:rsidR="009C76E6" w:rsidRPr="009C76E6" w14:paraId="1747DA43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9D6FD6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IIV CL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C31F0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Inter-individual variability on CL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8ADAA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F3744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0.137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C10E2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4.51</w:t>
            </w:r>
          </w:p>
        </w:tc>
      </w:tr>
      <w:tr w:rsidR="009C76E6" w:rsidRPr="009C76E6" w14:paraId="0D48866D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A8D00C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IIV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c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62995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Inter-individual variability on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c</w:t>
            </w:r>
            <w:proofErr w:type="spellEnd"/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2A04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EB008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0.188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7F50B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8.12</w:t>
            </w:r>
          </w:p>
        </w:tc>
      </w:tr>
      <w:tr w:rsidR="009C76E6" w:rsidRPr="009C76E6" w14:paraId="61103C52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259C68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IIV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p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214AE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Inter-individual variability on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V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p</w:t>
            </w:r>
            <w:proofErr w:type="spellEnd"/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448745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0630B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0.188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88B83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20.4</w:t>
            </w:r>
          </w:p>
        </w:tc>
      </w:tr>
      <w:tr w:rsidR="009C76E6" w:rsidRPr="009C76E6" w14:paraId="6B187174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6E6F8E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IIV 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IN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HV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E8352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Inter-individual variability on 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IN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for healthy volunteers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4AD9B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8F8AE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0.153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D009E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9C76E6" w:rsidRPr="009C76E6" w14:paraId="39927334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3C5521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IIV 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IN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AD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EC472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Inter-individual variability on 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IN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for patients with AD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727F7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916322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0.197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94D3E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6.06</w:t>
            </w:r>
          </w:p>
        </w:tc>
      </w:tr>
      <w:tr w:rsidR="009C76E6" w:rsidRPr="009C76E6" w14:paraId="6F399744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25A5866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IIV 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SS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E17F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Inter-individual variability on K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SS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EA79E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5399F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0.698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45722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9.01</w:t>
            </w:r>
          </w:p>
        </w:tc>
      </w:tr>
      <w:tr w:rsidR="009C76E6" w:rsidRPr="009C76E6" w14:paraId="4B2B5ECD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F6CECA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lastRenderedPageBreak/>
              <w:t>IIV T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1/2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BFEAE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Inter-individual variability on T</w:t>
            </w: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1/2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A2B1A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CV</w:t>
            </w: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5129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0.189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268E3B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9.05</w:t>
            </w:r>
          </w:p>
        </w:tc>
      </w:tr>
      <w:tr w:rsidR="009C76E6" w:rsidRPr="009C76E6" w14:paraId="3C2DD17D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9E0B19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08F26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47198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AB22E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6740C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9C76E6" w:rsidRPr="009C76E6" w14:paraId="00D9505D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4CA7A2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BD30E4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964EF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71F0F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358918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9C76E6" w:rsidRPr="009C76E6" w14:paraId="6D909F78" w14:textId="77777777" w:rsidTr="00902A89"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BECAFD1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RUV </w:t>
            </w:r>
            <w:proofErr w:type="spellStart"/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semorinemab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21A8F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5BC802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14E6B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0.205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E468A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3.56</w:t>
            </w:r>
          </w:p>
        </w:tc>
      </w:tr>
      <w:tr w:rsidR="009C76E6" w:rsidRPr="009C76E6" w14:paraId="357F344F" w14:textId="77777777" w:rsidTr="00902A89"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42AAB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RUV Tau protein</w:t>
            </w: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C0C8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8FC39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0C923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0.164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4010090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C76E6">
              <w:rPr>
                <w:rFonts w:ascii="Arial" w:hAnsi="Arial" w:cs="Arial"/>
                <w:color w:val="000000" w:themeColor="text1"/>
                <w:sz w:val="20"/>
                <w:szCs w:val="20"/>
              </w:rPr>
              <w:t>11.4</w:t>
            </w:r>
          </w:p>
        </w:tc>
      </w:tr>
      <w:tr w:rsidR="009C76E6" w:rsidRPr="009C76E6" w14:paraId="15C05305" w14:textId="77777777" w:rsidTr="00902A89"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0683AD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0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680E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BFDE7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8548C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8A0393A" w14:textId="77777777" w:rsidR="00EE0680" w:rsidRPr="009C76E6" w:rsidRDefault="00EE0680" w:rsidP="00902A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</w:tbl>
    <w:p w14:paraId="0E3D9E57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</w:p>
    <w:p w14:paraId="6CF039EF" w14:textId="77777777" w:rsidR="00EE0680" w:rsidRPr="009C76E6" w:rsidRDefault="00EE0680" w:rsidP="00EE0680">
      <w:pPr>
        <w:rPr>
          <w:rFonts w:ascii="Arial" w:eastAsiaTheme="minorEastAsia" w:hAnsi="Arial" w:cs="Arial"/>
          <w:color w:val="000000" w:themeColor="text1"/>
          <w:sz w:val="18"/>
          <w:szCs w:val="18"/>
          <w:vertAlign w:val="superscript"/>
        </w:rPr>
      </w:pPr>
      <w:proofErr w:type="gramStart"/>
      <w:r w:rsidRPr="009C76E6">
        <w:rPr>
          <w:rFonts w:ascii="Arial" w:hAnsi="Arial" w:cs="Arial"/>
          <w:color w:val="000000" w:themeColor="text1"/>
          <w:sz w:val="18"/>
          <w:szCs w:val="18"/>
          <w:vertAlign w:val="superscript"/>
        </w:rPr>
        <w:t>a</w:t>
      </w:r>
      <w:proofErr w:type="gramEnd"/>
      <w:r w:rsidRPr="009C76E6">
        <w:rPr>
          <w:rFonts w:ascii="Arial" w:hAnsi="Arial" w:cs="Arial"/>
          <w:color w:val="000000" w:themeColor="text1"/>
          <w:sz w:val="18"/>
          <w:szCs w:val="18"/>
          <w:vertAlign w:val="superscript"/>
        </w:rPr>
        <w:t xml:space="preserve"> </w:t>
      </w:r>
      <w:r w:rsidRPr="009C76E6">
        <w:rPr>
          <w:rFonts w:ascii="Arial" w:hAnsi="Arial" w:cs="Arial"/>
          <w:color w:val="000000" w:themeColor="text1"/>
          <w:sz w:val="18"/>
          <w:szCs w:val="18"/>
        </w:rPr>
        <w:t xml:space="preserve">Adjusted to body weight: </w:t>
      </w:r>
      <w:proofErr w:type="spellStart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>TVP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>i</w:t>
      </w:r>
      <w:proofErr w:type="spellEnd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 xml:space="preserve"> 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 xml:space="preserve">= </w:t>
      </w:r>
      <w:proofErr w:type="spellStart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>P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>Population</w:t>
      </w:r>
      <w:proofErr w:type="spellEnd"/>
      <w:r w:rsidRPr="009C76E6">
        <w:rPr>
          <w:rFonts w:ascii="Arial" w:hAnsi="Arial" w:cs="Arial"/>
          <w:color w:val="000000" w:themeColor="text1"/>
          <w:sz w:val="18"/>
          <w:szCs w:val="18"/>
        </w:rPr>
        <w:t xml:space="preserve"> • </w:t>
      </w:r>
      <m:oMath>
        <m:f>
          <m:fPr>
            <m:ctrlPr>
              <w:rPr>
                <w:rFonts w:ascii="Cambria Math" w:hAnsi="Cambria Math" w:cs="Arial"/>
                <w:i/>
                <w:color w:val="000000" w:themeColor="text1"/>
                <w:sz w:val="18"/>
                <w:szCs w:val="18"/>
                <w:vertAlign w:val="superscript"/>
              </w:rPr>
            </m:ctrlPr>
          </m:fPr>
          <m:num>
            <m:sSup>
              <m:sSupPr>
                <m:ctrlPr>
                  <w:rPr>
                    <w:rFonts w:ascii="Cambria Math" w:hAnsi="Cambria Math" w:cs="Arial"/>
                    <w:i/>
                    <w:color w:val="000000" w:themeColor="text1"/>
                    <w:sz w:val="18"/>
                    <w:szCs w:val="18"/>
                    <w:vertAlign w:val="superscript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000000" w:themeColor="text1"/>
                    <w:sz w:val="18"/>
                    <w:szCs w:val="18"/>
                    <w:vertAlign w:val="superscript"/>
                  </w:rPr>
                  <m:t>WTi</m:t>
                </m:r>
              </m:e>
              <m:sup>
                <m:r>
                  <w:rPr>
                    <w:rFonts w:ascii="Cambria Math" w:hAnsi="Cambria Math" w:cs="Arial"/>
                    <w:color w:val="000000" w:themeColor="text1"/>
                    <w:sz w:val="18"/>
                    <w:szCs w:val="18"/>
                    <w:vertAlign w:val="superscript"/>
                  </w:rPr>
                  <m:t>0.675</m:t>
                </m:r>
              </m:sup>
            </m:sSup>
          </m:num>
          <m:den>
            <m:r>
              <w:rPr>
                <w:rFonts w:ascii="Cambria Math" w:hAnsi="Cambria Math" w:cs="Arial"/>
                <w:color w:val="000000" w:themeColor="text1"/>
                <w:sz w:val="18"/>
                <w:szCs w:val="18"/>
                <w:vertAlign w:val="superscript"/>
              </w:rPr>
              <m:t>70</m:t>
            </m:r>
          </m:den>
        </m:f>
      </m:oMath>
    </w:p>
    <w:p w14:paraId="56EB66DB" w14:textId="77777777" w:rsidR="00EE0680" w:rsidRPr="009C76E6" w:rsidRDefault="00EE0680" w:rsidP="00EE0680">
      <w:pPr>
        <w:rPr>
          <w:rFonts w:ascii="Arial" w:eastAsiaTheme="minorEastAsia" w:hAnsi="Arial" w:cs="Arial"/>
          <w:color w:val="000000" w:themeColor="text1"/>
          <w:sz w:val="18"/>
          <w:szCs w:val="18"/>
          <w:vertAlign w:val="superscript"/>
        </w:rPr>
      </w:pPr>
      <w:r w:rsidRPr="009C76E6">
        <w:rPr>
          <w:rFonts w:ascii="Arial" w:hAnsi="Arial" w:cs="Arial"/>
          <w:color w:val="000000" w:themeColor="text1"/>
          <w:sz w:val="18"/>
          <w:szCs w:val="18"/>
          <w:vertAlign w:val="superscript"/>
        </w:rPr>
        <w:t xml:space="preserve">b </w:t>
      </w:r>
      <w:r w:rsidRPr="009C76E6">
        <w:rPr>
          <w:rFonts w:ascii="Arial" w:hAnsi="Arial" w:cs="Arial"/>
          <w:color w:val="000000" w:themeColor="text1"/>
          <w:sz w:val="18"/>
          <w:szCs w:val="18"/>
        </w:rPr>
        <w:t xml:space="preserve">Adjusted to body weight: </w:t>
      </w:r>
      <w:proofErr w:type="spellStart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>TVP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>i</w:t>
      </w:r>
      <w:proofErr w:type="spellEnd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 xml:space="preserve"> 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 xml:space="preserve">= </w:t>
      </w:r>
      <w:proofErr w:type="spellStart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>P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>Population</w:t>
      </w:r>
      <w:proofErr w:type="spellEnd"/>
      <w:r w:rsidRPr="009C76E6">
        <w:rPr>
          <w:rFonts w:ascii="Arial" w:hAnsi="Arial" w:cs="Arial"/>
          <w:color w:val="000000" w:themeColor="text1"/>
          <w:sz w:val="18"/>
          <w:szCs w:val="18"/>
        </w:rPr>
        <w:t xml:space="preserve"> • </w:t>
      </w:r>
      <m:oMath>
        <m:f>
          <m:fPr>
            <m:ctrlPr>
              <w:rPr>
                <w:rFonts w:ascii="Cambria Math" w:hAnsi="Cambria Math" w:cs="Arial"/>
                <w:i/>
                <w:color w:val="000000" w:themeColor="text1"/>
                <w:sz w:val="18"/>
                <w:szCs w:val="18"/>
                <w:vertAlign w:val="superscript"/>
              </w:rPr>
            </m:ctrlPr>
          </m:fPr>
          <m:num>
            <m:sSup>
              <m:sSupPr>
                <m:ctrlPr>
                  <w:rPr>
                    <w:rFonts w:ascii="Cambria Math" w:hAnsi="Cambria Math" w:cs="Arial"/>
                    <w:i/>
                    <w:color w:val="000000" w:themeColor="text1"/>
                    <w:sz w:val="18"/>
                    <w:szCs w:val="18"/>
                    <w:vertAlign w:val="superscript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000000" w:themeColor="text1"/>
                    <w:sz w:val="18"/>
                    <w:szCs w:val="18"/>
                    <w:vertAlign w:val="superscript"/>
                  </w:rPr>
                  <m:t>WTi</m:t>
                </m:r>
              </m:e>
              <m:sup>
                <m:r>
                  <w:rPr>
                    <w:rFonts w:ascii="Cambria Math" w:hAnsi="Cambria Math" w:cs="Arial"/>
                    <w:color w:val="000000" w:themeColor="text1"/>
                    <w:sz w:val="18"/>
                    <w:szCs w:val="18"/>
                    <w:vertAlign w:val="superscript"/>
                  </w:rPr>
                  <m:t>0.700</m:t>
                </m:r>
              </m:sup>
            </m:sSup>
          </m:num>
          <m:den>
            <m:r>
              <w:rPr>
                <w:rFonts w:ascii="Cambria Math" w:hAnsi="Cambria Math" w:cs="Arial"/>
                <w:color w:val="000000" w:themeColor="text1"/>
                <w:sz w:val="18"/>
                <w:szCs w:val="18"/>
                <w:vertAlign w:val="superscript"/>
              </w:rPr>
              <m:t>70</m:t>
            </m:r>
          </m:den>
        </m:f>
      </m:oMath>
    </w:p>
    <w:p w14:paraId="1FD5C217" w14:textId="77777777" w:rsidR="00EE0680" w:rsidRPr="009C76E6" w:rsidRDefault="00EE0680" w:rsidP="00EE0680">
      <w:pPr>
        <w:rPr>
          <w:rFonts w:ascii="Arial" w:eastAsiaTheme="minorEastAsia" w:hAnsi="Arial" w:cs="Arial"/>
          <w:color w:val="000000" w:themeColor="text1"/>
          <w:sz w:val="18"/>
          <w:szCs w:val="18"/>
          <w:vertAlign w:val="superscript"/>
        </w:rPr>
      </w:pPr>
      <w:r w:rsidRPr="009C76E6">
        <w:rPr>
          <w:rFonts w:ascii="Arial" w:hAnsi="Arial" w:cs="Arial"/>
          <w:color w:val="000000" w:themeColor="text1"/>
          <w:sz w:val="18"/>
          <w:szCs w:val="18"/>
          <w:vertAlign w:val="superscript"/>
        </w:rPr>
        <w:t xml:space="preserve">c </w:t>
      </w:r>
      <w:r w:rsidRPr="009C76E6">
        <w:rPr>
          <w:rFonts w:ascii="Arial" w:hAnsi="Arial" w:cs="Arial"/>
          <w:color w:val="000000" w:themeColor="text1"/>
          <w:sz w:val="18"/>
          <w:szCs w:val="18"/>
        </w:rPr>
        <w:t xml:space="preserve">Adjusted to body weight: </w:t>
      </w:r>
      <w:proofErr w:type="spellStart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>TVP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>i</w:t>
      </w:r>
      <w:proofErr w:type="spellEnd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 xml:space="preserve"> 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 xml:space="preserve">= </w:t>
      </w:r>
      <w:proofErr w:type="spellStart"/>
      <w:r w:rsidRPr="009C76E6">
        <w:rPr>
          <w:rFonts w:ascii="Arial" w:hAnsi="Arial" w:cs="Arial"/>
          <w:i/>
          <w:iCs/>
          <w:color w:val="000000" w:themeColor="text1"/>
          <w:sz w:val="18"/>
          <w:szCs w:val="18"/>
        </w:rPr>
        <w:t>P</w:t>
      </w:r>
      <w:r w:rsidRPr="009C76E6">
        <w:rPr>
          <w:rFonts w:ascii="Arial" w:hAnsi="Arial" w:cs="Arial"/>
          <w:i/>
          <w:iCs/>
          <w:color w:val="000000" w:themeColor="text1"/>
          <w:sz w:val="18"/>
          <w:szCs w:val="18"/>
          <w:vertAlign w:val="subscript"/>
        </w:rPr>
        <w:t>Population</w:t>
      </w:r>
      <w:proofErr w:type="spellEnd"/>
      <w:r w:rsidRPr="009C76E6">
        <w:rPr>
          <w:rFonts w:ascii="Arial" w:hAnsi="Arial" w:cs="Arial"/>
          <w:color w:val="000000" w:themeColor="text1"/>
          <w:sz w:val="18"/>
          <w:szCs w:val="18"/>
        </w:rPr>
        <w:t xml:space="preserve"> • </w:t>
      </w:r>
      <m:oMath>
        <m:f>
          <m:fPr>
            <m:ctrlPr>
              <w:rPr>
                <w:rFonts w:ascii="Cambria Math" w:hAnsi="Cambria Math" w:cs="Arial"/>
                <w:i/>
                <w:color w:val="000000" w:themeColor="text1"/>
                <w:sz w:val="18"/>
                <w:szCs w:val="18"/>
                <w:vertAlign w:val="superscript"/>
              </w:rPr>
            </m:ctrlPr>
          </m:fPr>
          <m:num>
            <m:sSup>
              <m:sSupPr>
                <m:ctrlPr>
                  <w:rPr>
                    <w:rFonts w:ascii="Cambria Math" w:hAnsi="Cambria Math" w:cs="Arial"/>
                    <w:i/>
                    <w:color w:val="000000" w:themeColor="text1"/>
                    <w:sz w:val="18"/>
                    <w:szCs w:val="18"/>
                    <w:vertAlign w:val="superscript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000000" w:themeColor="text1"/>
                    <w:sz w:val="18"/>
                    <w:szCs w:val="18"/>
                    <w:vertAlign w:val="superscript"/>
                  </w:rPr>
                  <m:t>WTi</m:t>
                </m:r>
              </m:e>
              <m:sup>
                <m:r>
                  <w:rPr>
                    <w:rFonts w:ascii="Cambria Math" w:hAnsi="Cambria Math" w:cs="Arial"/>
                    <w:color w:val="000000" w:themeColor="text1"/>
                    <w:sz w:val="18"/>
                    <w:szCs w:val="18"/>
                    <w:vertAlign w:val="superscript"/>
                  </w:rPr>
                  <m:t>0.639</m:t>
                </m:r>
              </m:sup>
            </m:sSup>
          </m:num>
          <m:den>
            <m:r>
              <w:rPr>
                <w:rFonts w:ascii="Cambria Math" w:hAnsi="Cambria Math" w:cs="Arial"/>
                <w:color w:val="000000" w:themeColor="text1"/>
                <w:sz w:val="18"/>
                <w:szCs w:val="18"/>
                <w:vertAlign w:val="superscript"/>
              </w:rPr>
              <m:t>70</m:t>
            </m:r>
          </m:den>
        </m:f>
      </m:oMath>
    </w:p>
    <w:p w14:paraId="6683C0B9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  <w:vertAlign w:val="superscript"/>
        </w:rPr>
      </w:pPr>
    </w:p>
    <w:p w14:paraId="67856746" w14:textId="77777777" w:rsidR="00EE0680" w:rsidRPr="009C76E6" w:rsidRDefault="00EE0680" w:rsidP="00EE0680">
      <w:pPr>
        <w:rPr>
          <w:rFonts w:ascii="Arial" w:eastAsiaTheme="minorEastAsia" w:hAnsi="Arial" w:cs="Arial"/>
          <w:color w:val="000000" w:themeColor="text1"/>
          <w:sz w:val="18"/>
          <w:szCs w:val="18"/>
          <w:vertAlign w:val="superscript"/>
        </w:rPr>
      </w:pPr>
    </w:p>
    <w:p w14:paraId="03D7E21E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  <w:r w:rsidRPr="009C76E6">
        <w:rPr>
          <w:rFonts w:ascii="Arial" w:hAnsi="Arial" w:cs="Arial"/>
          <w:color w:val="000000" w:themeColor="text1"/>
          <w:sz w:val="18"/>
          <w:szCs w:val="18"/>
        </w:rPr>
        <w:t>SC: Subcutaneous</w:t>
      </w:r>
    </w:p>
    <w:p w14:paraId="0C0A4BC7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  <w:r w:rsidRPr="009C76E6">
        <w:rPr>
          <w:rFonts w:ascii="Arial" w:hAnsi="Arial" w:cs="Arial"/>
          <w:color w:val="000000" w:themeColor="text1"/>
          <w:sz w:val="18"/>
          <w:szCs w:val="18"/>
        </w:rPr>
        <w:t>AD: Alzheimer’s disease</w:t>
      </w:r>
    </w:p>
    <w:p w14:paraId="0209D196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  <w:r w:rsidRPr="009C76E6">
        <w:rPr>
          <w:rFonts w:ascii="Arial" w:hAnsi="Arial" w:cs="Arial"/>
          <w:color w:val="000000" w:themeColor="text1"/>
          <w:sz w:val="18"/>
          <w:szCs w:val="18"/>
        </w:rPr>
        <w:t>HV: healthy volunteers</w:t>
      </w:r>
    </w:p>
    <w:p w14:paraId="4DBA151F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  <w:r w:rsidRPr="009C76E6">
        <w:rPr>
          <w:rFonts w:ascii="Arial" w:hAnsi="Arial" w:cs="Arial"/>
          <w:color w:val="000000" w:themeColor="text1"/>
          <w:sz w:val="18"/>
          <w:szCs w:val="18"/>
        </w:rPr>
        <w:t>RUV: residual unexplained variability</w:t>
      </w:r>
    </w:p>
    <w:p w14:paraId="76C937DA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  <w:r w:rsidRPr="009C76E6">
        <w:rPr>
          <w:rFonts w:ascii="Arial" w:hAnsi="Arial" w:cs="Arial"/>
          <w:color w:val="000000" w:themeColor="text1"/>
          <w:sz w:val="18"/>
          <w:szCs w:val="18"/>
        </w:rPr>
        <w:t>CV: coefficient of variation</w:t>
      </w:r>
    </w:p>
    <w:p w14:paraId="2070A520" w14:textId="77777777" w:rsidR="00EE0680" w:rsidRPr="009C76E6" w:rsidRDefault="00EE0680" w:rsidP="00EE0680">
      <w:pPr>
        <w:rPr>
          <w:rFonts w:ascii="Arial" w:hAnsi="Arial" w:cs="Arial"/>
          <w:color w:val="000000" w:themeColor="text1"/>
          <w:sz w:val="18"/>
          <w:szCs w:val="18"/>
        </w:rPr>
      </w:pPr>
      <w:r w:rsidRPr="009C76E6">
        <w:rPr>
          <w:rFonts w:ascii="Arial" w:hAnsi="Arial" w:cs="Arial"/>
          <w:color w:val="000000" w:themeColor="text1"/>
          <w:sz w:val="18"/>
          <w:szCs w:val="18"/>
        </w:rPr>
        <w:t>RSE: Relative standard error</w:t>
      </w:r>
    </w:p>
    <w:p w14:paraId="1C7B8AED" w14:textId="77777777" w:rsidR="00EE0680" w:rsidRPr="009C76E6" w:rsidRDefault="00EE0680" w:rsidP="00EE0680">
      <w:pPr>
        <w:rPr>
          <w:rFonts w:ascii="Arial" w:hAnsi="Arial" w:cs="Arial"/>
          <w:b/>
          <w:bCs/>
          <w:color w:val="000000" w:themeColor="text1"/>
        </w:rPr>
      </w:pPr>
    </w:p>
    <w:p w14:paraId="43F080D4" w14:textId="77777777" w:rsidR="00EE0680" w:rsidRPr="009C76E6" w:rsidRDefault="00EE0680" w:rsidP="00C65A6A">
      <w:pPr>
        <w:spacing w:line="480" w:lineRule="auto"/>
        <w:rPr>
          <w:color w:val="000000" w:themeColor="text1"/>
        </w:rPr>
      </w:pPr>
    </w:p>
    <w:p w14:paraId="34C8C7E8" w14:textId="77777777" w:rsidR="00C65A6A" w:rsidRPr="009C76E6" w:rsidRDefault="00C65A6A">
      <w:pPr>
        <w:rPr>
          <w:color w:val="000000" w:themeColor="text1"/>
        </w:rPr>
      </w:pPr>
    </w:p>
    <w:sectPr w:rsidR="00C65A6A" w:rsidRPr="009C76E6" w:rsidSect="00E465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DBBF6" w14:textId="77777777" w:rsidR="00AA6D6D" w:rsidRDefault="00AA6D6D" w:rsidP="00851DEB">
      <w:r>
        <w:separator/>
      </w:r>
    </w:p>
  </w:endnote>
  <w:endnote w:type="continuationSeparator" w:id="0">
    <w:p w14:paraId="4881C368" w14:textId="77777777" w:rsidR="00AA6D6D" w:rsidRDefault="00AA6D6D" w:rsidP="00851D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86B2CF" w14:textId="77777777" w:rsidR="00AA6D6D" w:rsidRDefault="00AA6D6D" w:rsidP="00851DEB">
      <w:r>
        <w:separator/>
      </w:r>
    </w:p>
  </w:footnote>
  <w:footnote w:type="continuationSeparator" w:id="0">
    <w:p w14:paraId="1BE5BD1B" w14:textId="77777777" w:rsidR="00AA6D6D" w:rsidRDefault="00AA6D6D" w:rsidP="00851D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1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10B5"/>
    <w:rsid w:val="0000514B"/>
    <w:rsid w:val="00006A48"/>
    <w:rsid w:val="000174DC"/>
    <w:rsid w:val="000278AB"/>
    <w:rsid w:val="00051B39"/>
    <w:rsid w:val="000656E2"/>
    <w:rsid w:val="00071FD5"/>
    <w:rsid w:val="00076CF9"/>
    <w:rsid w:val="00081A53"/>
    <w:rsid w:val="00082BE9"/>
    <w:rsid w:val="000A27A7"/>
    <w:rsid w:val="000B1EB0"/>
    <w:rsid w:val="000B4D56"/>
    <w:rsid w:val="000C0C65"/>
    <w:rsid w:val="000D0CBB"/>
    <w:rsid w:val="000D451A"/>
    <w:rsid w:val="000D732F"/>
    <w:rsid w:val="000E79B9"/>
    <w:rsid w:val="000F69C7"/>
    <w:rsid w:val="00100D1A"/>
    <w:rsid w:val="00121CC9"/>
    <w:rsid w:val="001446B1"/>
    <w:rsid w:val="001567CE"/>
    <w:rsid w:val="00162BF6"/>
    <w:rsid w:val="001A10BD"/>
    <w:rsid w:val="001A4F09"/>
    <w:rsid w:val="001C3CFC"/>
    <w:rsid w:val="001D2234"/>
    <w:rsid w:val="001D4EC1"/>
    <w:rsid w:val="001D7EDD"/>
    <w:rsid w:val="001E63AE"/>
    <w:rsid w:val="001F0A2D"/>
    <w:rsid w:val="0020147D"/>
    <w:rsid w:val="002118D9"/>
    <w:rsid w:val="00217D96"/>
    <w:rsid w:val="002244F1"/>
    <w:rsid w:val="00231569"/>
    <w:rsid w:val="00234533"/>
    <w:rsid w:val="0024097E"/>
    <w:rsid w:val="00253B91"/>
    <w:rsid w:val="002571C5"/>
    <w:rsid w:val="002633A5"/>
    <w:rsid w:val="00270921"/>
    <w:rsid w:val="00275920"/>
    <w:rsid w:val="00295F7F"/>
    <w:rsid w:val="00297214"/>
    <w:rsid w:val="002A03D6"/>
    <w:rsid w:val="002A7C86"/>
    <w:rsid w:val="002B50B8"/>
    <w:rsid w:val="002C4460"/>
    <w:rsid w:val="002C5EC2"/>
    <w:rsid w:val="002E04CB"/>
    <w:rsid w:val="002F0A64"/>
    <w:rsid w:val="002F2BEF"/>
    <w:rsid w:val="002F5FB1"/>
    <w:rsid w:val="0031424C"/>
    <w:rsid w:val="003170D5"/>
    <w:rsid w:val="00331B64"/>
    <w:rsid w:val="0036391B"/>
    <w:rsid w:val="00364788"/>
    <w:rsid w:val="00371E76"/>
    <w:rsid w:val="00372234"/>
    <w:rsid w:val="0039370A"/>
    <w:rsid w:val="003A36D9"/>
    <w:rsid w:val="003C611A"/>
    <w:rsid w:val="003E0B8F"/>
    <w:rsid w:val="003E12D9"/>
    <w:rsid w:val="003E7E93"/>
    <w:rsid w:val="003F0BD5"/>
    <w:rsid w:val="003F33F5"/>
    <w:rsid w:val="00407589"/>
    <w:rsid w:val="004167AE"/>
    <w:rsid w:val="00433830"/>
    <w:rsid w:val="00453392"/>
    <w:rsid w:val="00453DB7"/>
    <w:rsid w:val="00453EB7"/>
    <w:rsid w:val="0046289B"/>
    <w:rsid w:val="00470F37"/>
    <w:rsid w:val="004760FF"/>
    <w:rsid w:val="00486FC7"/>
    <w:rsid w:val="004A6A76"/>
    <w:rsid w:val="004B05F3"/>
    <w:rsid w:val="004C0C19"/>
    <w:rsid w:val="004C47EE"/>
    <w:rsid w:val="004D7D5C"/>
    <w:rsid w:val="00532FAD"/>
    <w:rsid w:val="005543F8"/>
    <w:rsid w:val="00567482"/>
    <w:rsid w:val="005A2E05"/>
    <w:rsid w:val="005B65DF"/>
    <w:rsid w:val="005D0EA6"/>
    <w:rsid w:val="005D15E0"/>
    <w:rsid w:val="005E074A"/>
    <w:rsid w:val="005E672E"/>
    <w:rsid w:val="005F219E"/>
    <w:rsid w:val="00602891"/>
    <w:rsid w:val="006065FF"/>
    <w:rsid w:val="00612D1F"/>
    <w:rsid w:val="0062053D"/>
    <w:rsid w:val="006257C7"/>
    <w:rsid w:val="0064589A"/>
    <w:rsid w:val="006517F7"/>
    <w:rsid w:val="006662EA"/>
    <w:rsid w:val="00673639"/>
    <w:rsid w:val="00673FED"/>
    <w:rsid w:val="00677C7A"/>
    <w:rsid w:val="00685B17"/>
    <w:rsid w:val="006A0955"/>
    <w:rsid w:val="006A1BF4"/>
    <w:rsid w:val="006D0047"/>
    <w:rsid w:val="006F58FE"/>
    <w:rsid w:val="00706BE9"/>
    <w:rsid w:val="00713381"/>
    <w:rsid w:val="007175B5"/>
    <w:rsid w:val="007424E4"/>
    <w:rsid w:val="007532C2"/>
    <w:rsid w:val="00764B58"/>
    <w:rsid w:val="00777443"/>
    <w:rsid w:val="00787178"/>
    <w:rsid w:val="00793DB5"/>
    <w:rsid w:val="007A5A2F"/>
    <w:rsid w:val="007B4B86"/>
    <w:rsid w:val="007B5598"/>
    <w:rsid w:val="007C3468"/>
    <w:rsid w:val="007C79FC"/>
    <w:rsid w:val="00805648"/>
    <w:rsid w:val="00814ED1"/>
    <w:rsid w:val="00815F90"/>
    <w:rsid w:val="00823E55"/>
    <w:rsid w:val="00826ABC"/>
    <w:rsid w:val="008426B9"/>
    <w:rsid w:val="008453D3"/>
    <w:rsid w:val="00851DEB"/>
    <w:rsid w:val="00856382"/>
    <w:rsid w:val="008735E0"/>
    <w:rsid w:val="00882CD9"/>
    <w:rsid w:val="00882DEC"/>
    <w:rsid w:val="008833FE"/>
    <w:rsid w:val="00885976"/>
    <w:rsid w:val="008A1AA0"/>
    <w:rsid w:val="008B07E7"/>
    <w:rsid w:val="008B1910"/>
    <w:rsid w:val="008B6BFF"/>
    <w:rsid w:val="008B72A2"/>
    <w:rsid w:val="008C1617"/>
    <w:rsid w:val="008C4FB5"/>
    <w:rsid w:val="008D1C91"/>
    <w:rsid w:val="008D630B"/>
    <w:rsid w:val="008E4829"/>
    <w:rsid w:val="008F18B5"/>
    <w:rsid w:val="00904A20"/>
    <w:rsid w:val="00906F0B"/>
    <w:rsid w:val="009239AB"/>
    <w:rsid w:val="0092467C"/>
    <w:rsid w:val="0093380D"/>
    <w:rsid w:val="0093560F"/>
    <w:rsid w:val="00943513"/>
    <w:rsid w:val="00964156"/>
    <w:rsid w:val="0097405A"/>
    <w:rsid w:val="0097719E"/>
    <w:rsid w:val="009910B5"/>
    <w:rsid w:val="009B0B5B"/>
    <w:rsid w:val="009B41E2"/>
    <w:rsid w:val="009C24A1"/>
    <w:rsid w:val="009C76E6"/>
    <w:rsid w:val="009F41E2"/>
    <w:rsid w:val="00A134F7"/>
    <w:rsid w:val="00A232D4"/>
    <w:rsid w:val="00A35209"/>
    <w:rsid w:val="00A5666B"/>
    <w:rsid w:val="00A664AA"/>
    <w:rsid w:val="00A70A3D"/>
    <w:rsid w:val="00A80E80"/>
    <w:rsid w:val="00A8120D"/>
    <w:rsid w:val="00AA4170"/>
    <w:rsid w:val="00AA6D6D"/>
    <w:rsid w:val="00AB0519"/>
    <w:rsid w:val="00AD647D"/>
    <w:rsid w:val="00AD7B87"/>
    <w:rsid w:val="00AE1D88"/>
    <w:rsid w:val="00AE1EC9"/>
    <w:rsid w:val="00AE2069"/>
    <w:rsid w:val="00B0035D"/>
    <w:rsid w:val="00B033D9"/>
    <w:rsid w:val="00B3032B"/>
    <w:rsid w:val="00B31BBF"/>
    <w:rsid w:val="00B427EA"/>
    <w:rsid w:val="00B55D3F"/>
    <w:rsid w:val="00B83D8F"/>
    <w:rsid w:val="00B85226"/>
    <w:rsid w:val="00BA171D"/>
    <w:rsid w:val="00BA52CE"/>
    <w:rsid w:val="00BB75C8"/>
    <w:rsid w:val="00BD2349"/>
    <w:rsid w:val="00BD47E9"/>
    <w:rsid w:val="00BD7B62"/>
    <w:rsid w:val="00BD7E0A"/>
    <w:rsid w:val="00BF339A"/>
    <w:rsid w:val="00BF3BC2"/>
    <w:rsid w:val="00C06830"/>
    <w:rsid w:val="00C12DA6"/>
    <w:rsid w:val="00C22C15"/>
    <w:rsid w:val="00C24FAD"/>
    <w:rsid w:val="00C372EF"/>
    <w:rsid w:val="00C40CDB"/>
    <w:rsid w:val="00C42624"/>
    <w:rsid w:val="00C45D4F"/>
    <w:rsid w:val="00C50672"/>
    <w:rsid w:val="00C55C34"/>
    <w:rsid w:val="00C56076"/>
    <w:rsid w:val="00C63E2D"/>
    <w:rsid w:val="00C65A6A"/>
    <w:rsid w:val="00C70EF9"/>
    <w:rsid w:val="00C77D5C"/>
    <w:rsid w:val="00C87306"/>
    <w:rsid w:val="00C90729"/>
    <w:rsid w:val="00C93671"/>
    <w:rsid w:val="00CA24E8"/>
    <w:rsid w:val="00CB7D71"/>
    <w:rsid w:val="00CD68F1"/>
    <w:rsid w:val="00D01725"/>
    <w:rsid w:val="00D01F54"/>
    <w:rsid w:val="00D13E71"/>
    <w:rsid w:val="00D47322"/>
    <w:rsid w:val="00D51902"/>
    <w:rsid w:val="00D8144E"/>
    <w:rsid w:val="00D94EB7"/>
    <w:rsid w:val="00DA1AF9"/>
    <w:rsid w:val="00DB559F"/>
    <w:rsid w:val="00DB5D93"/>
    <w:rsid w:val="00DB5F6B"/>
    <w:rsid w:val="00DC0031"/>
    <w:rsid w:val="00DC3C34"/>
    <w:rsid w:val="00DC6523"/>
    <w:rsid w:val="00DD6A00"/>
    <w:rsid w:val="00E128A0"/>
    <w:rsid w:val="00E15D28"/>
    <w:rsid w:val="00E223E5"/>
    <w:rsid w:val="00E27A8A"/>
    <w:rsid w:val="00E30A02"/>
    <w:rsid w:val="00E401C6"/>
    <w:rsid w:val="00E465F6"/>
    <w:rsid w:val="00E5530E"/>
    <w:rsid w:val="00E63F22"/>
    <w:rsid w:val="00ED02DB"/>
    <w:rsid w:val="00EE0680"/>
    <w:rsid w:val="00EF0312"/>
    <w:rsid w:val="00F00010"/>
    <w:rsid w:val="00F02FF6"/>
    <w:rsid w:val="00F433BA"/>
    <w:rsid w:val="00F54263"/>
    <w:rsid w:val="00F551D1"/>
    <w:rsid w:val="00F552E3"/>
    <w:rsid w:val="00F605EC"/>
    <w:rsid w:val="00F7555F"/>
    <w:rsid w:val="00F803B4"/>
    <w:rsid w:val="00F92547"/>
    <w:rsid w:val="00F94BA4"/>
    <w:rsid w:val="00F9606B"/>
    <w:rsid w:val="00F96352"/>
    <w:rsid w:val="00FA798E"/>
    <w:rsid w:val="00FB0CE6"/>
    <w:rsid w:val="00FC73CA"/>
    <w:rsid w:val="00FD2023"/>
    <w:rsid w:val="00FD4B03"/>
    <w:rsid w:val="00FD7CB8"/>
    <w:rsid w:val="00FE1CA1"/>
    <w:rsid w:val="00FE426B"/>
    <w:rsid w:val="00FE5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481BBE"/>
  <w15:chartTrackingRefBased/>
  <w15:docId w15:val="{82CCC26E-A24B-914F-BDB5-8F2D0301E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51DEB"/>
    <w:pPr>
      <w:tabs>
        <w:tab w:val="center" w:pos="4680"/>
        <w:tab w:val="right" w:pos="9360"/>
      </w:tabs>
    </w:pPr>
  </w:style>
  <w:style w:type="character" w:customStyle="1" w:styleId="En-tteCar">
    <w:name w:val="En-tête Car"/>
    <w:basedOn w:val="Policepardfaut"/>
    <w:link w:val="En-tte"/>
    <w:uiPriority w:val="99"/>
    <w:rsid w:val="00851DEB"/>
  </w:style>
  <w:style w:type="paragraph" w:styleId="Pieddepage">
    <w:name w:val="footer"/>
    <w:basedOn w:val="Normal"/>
    <w:link w:val="PieddepageCar"/>
    <w:uiPriority w:val="99"/>
    <w:unhideWhenUsed/>
    <w:rsid w:val="00851DEB"/>
    <w:pPr>
      <w:tabs>
        <w:tab w:val="center" w:pos="4680"/>
        <w:tab w:val="right" w:pos="936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51DEB"/>
  </w:style>
  <w:style w:type="paragraph" w:styleId="Textedebulles">
    <w:name w:val="Balloon Text"/>
    <w:basedOn w:val="Normal"/>
    <w:link w:val="TextedebullesCar"/>
    <w:uiPriority w:val="99"/>
    <w:semiHidden/>
    <w:unhideWhenUsed/>
    <w:rsid w:val="003A36D9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A36D9"/>
    <w:rPr>
      <w:rFonts w:ascii="Times New Roman" w:hAnsi="Times New Roman" w:cs="Times New Roman"/>
      <w:sz w:val="18"/>
      <w:szCs w:val="18"/>
    </w:rPr>
  </w:style>
  <w:style w:type="table" w:styleId="Grilledutableau">
    <w:name w:val="Table Grid"/>
    <w:basedOn w:val="TableauNormal"/>
    <w:uiPriority w:val="39"/>
    <w:rsid w:val="00EE06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38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735</Words>
  <Characters>4045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ABS</dc:creator>
  <cp:keywords/>
  <dc:description/>
  <cp:lastModifiedBy>Virginie Cassigneul</cp:lastModifiedBy>
  <cp:revision>2</cp:revision>
  <dcterms:created xsi:type="dcterms:W3CDTF">2024-06-22T02:58:00Z</dcterms:created>
  <dcterms:modified xsi:type="dcterms:W3CDTF">2024-06-22T02:58:00Z</dcterms:modified>
</cp:coreProperties>
</file>