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5A23" w14:textId="1E6AF348" w:rsidR="00CE47A7" w:rsidRPr="0086037A" w:rsidRDefault="00CE47A7" w:rsidP="000A493D">
      <w:pPr>
        <w:spacing w:before="120" w:after="120" w:line="360" w:lineRule="auto"/>
        <w:rPr>
          <w:rFonts w:eastAsia="Times New Roman"/>
          <w:b/>
          <w:bCs/>
        </w:rPr>
      </w:pPr>
      <w:r w:rsidRPr="0086037A">
        <w:rPr>
          <w:rFonts w:eastAsia="Times New Roman"/>
          <w:b/>
          <w:bCs/>
        </w:rPr>
        <w:t xml:space="preserve">Supplementary Figure 1: </w:t>
      </w:r>
      <w:r w:rsidRPr="0086037A">
        <w:rPr>
          <w:rFonts w:eastAsia="Times New Roman"/>
        </w:rPr>
        <w:t>Pharmacodynamic effects of JNJ-63733657 in CSF:</w:t>
      </w:r>
      <w:r w:rsidR="002F3842" w:rsidRPr="0086037A">
        <w:rPr>
          <w:rFonts w:eastAsia="Times New Roman"/>
        </w:rPr>
        <w:t xml:space="preserve"> </w:t>
      </w:r>
      <w:r w:rsidRPr="0086037A">
        <w:rPr>
          <w:rFonts w:eastAsia="Times New Roman"/>
        </w:rPr>
        <w:t xml:space="preserve"> </w:t>
      </w:r>
      <w:r w:rsidR="002F3842" w:rsidRPr="0086037A">
        <w:rPr>
          <w:rFonts w:eastAsia="Times New Roman"/>
        </w:rPr>
        <w:t>M</w:t>
      </w:r>
      <w:r w:rsidRPr="0086037A">
        <w:rPr>
          <w:rFonts w:eastAsia="Times New Roman"/>
        </w:rPr>
        <w:t xml:space="preserve">easurements of free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>and total p217+tau, allowing determination of p217+tau bound to JNJ</w:t>
      </w:r>
      <w:r w:rsidRPr="0086037A">
        <w:rPr>
          <w:rFonts w:ascii="Cambria Math" w:eastAsia="Times New Roman" w:hAnsi="Cambria Math" w:cs="Cambria Math"/>
        </w:rPr>
        <w:t>‑</w:t>
      </w:r>
      <w:r w:rsidRPr="0086037A">
        <w:rPr>
          <w:rFonts w:eastAsia="Times New Roman"/>
        </w:rPr>
        <w:t>63733657.</w:t>
      </w:r>
      <w:r w:rsidRPr="0086037A">
        <w:rPr>
          <w:rFonts w:eastAsia="Times New Roman"/>
          <w:b/>
          <w:bCs/>
        </w:rPr>
        <w:t xml:space="preserve">  </w:t>
      </w:r>
    </w:p>
    <w:p w14:paraId="38DCE135" w14:textId="77777777" w:rsidR="00CE47A7" w:rsidRPr="0086037A" w:rsidRDefault="00CE47A7" w:rsidP="000A493D">
      <w:pPr>
        <w:spacing w:before="120" w:after="120" w:line="360" w:lineRule="auto"/>
        <w:rPr>
          <w:rFonts w:eastAsia="Times New Roman"/>
          <w:b/>
          <w:bCs/>
        </w:rPr>
      </w:pPr>
    </w:p>
    <w:p w14:paraId="17684DBF" w14:textId="168F4A83" w:rsidR="00CE47A7" w:rsidRPr="0086037A" w:rsidRDefault="00CE47A7" w:rsidP="00CE47A7">
      <w:pPr>
        <w:pStyle w:val="Paragraphedeliste"/>
        <w:numPr>
          <w:ilvl w:val="0"/>
          <w:numId w:val="4"/>
        </w:numPr>
        <w:spacing w:before="120" w:after="120" w:line="360" w:lineRule="auto"/>
        <w:rPr>
          <w:rFonts w:eastAsia="Times New Roman"/>
        </w:rPr>
      </w:pPr>
      <w:r w:rsidRPr="0086037A">
        <w:rPr>
          <w:noProof/>
        </w:rPr>
        <w:drawing>
          <wp:anchor distT="0" distB="0" distL="114300" distR="114300" simplePos="0" relativeHeight="251664384" behindDoc="1" locked="0" layoutInCell="1" allowOverlap="1" wp14:anchorId="27F29207" wp14:editId="5F435E50">
            <wp:simplePos x="0" y="0"/>
            <wp:positionH relativeFrom="margin">
              <wp:align>right</wp:align>
            </wp:positionH>
            <wp:positionV relativeFrom="paragraph">
              <wp:posOffset>1557020</wp:posOffset>
            </wp:positionV>
            <wp:extent cx="594360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531" y="21340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37A">
        <w:rPr>
          <w:rFonts w:eastAsia="Times New Roman"/>
        </w:rPr>
        <w:t>Tau molecule indicating epitope</w:t>
      </w:r>
      <w:r w:rsidR="002F3842" w:rsidRPr="0086037A">
        <w:rPr>
          <w:rFonts w:eastAsia="Times New Roman"/>
        </w:rPr>
        <w:t>s</w:t>
      </w:r>
      <w:r w:rsidRPr="0086037A">
        <w:rPr>
          <w:rFonts w:eastAsia="Times New Roman"/>
        </w:rPr>
        <w:t xml:space="preserve"> of the </w:t>
      </w:r>
      <w:r w:rsidR="000E2FFA" w:rsidRPr="0086037A">
        <w:rPr>
          <w:rFonts w:eastAsia="Times New Roman"/>
        </w:rPr>
        <w:t>Simoa</w:t>
      </w:r>
      <w:r w:rsidRPr="0086037A">
        <w:rPr>
          <w:rFonts w:eastAsia="Times New Roman"/>
        </w:rPr>
        <w:t xml:space="preserve"> assay reagents.  The CSF p217+tau assay uses the murine version of JNJ-63733657 </w:t>
      </w:r>
      <w:r w:rsidR="002F3842" w:rsidRPr="0086037A">
        <w:rPr>
          <w:rFonts w:eastAsia="Times New Roman"/>
        </w:rPr>
        <w:t xml:space="preserve">(pT3) </w:t>
      </w:r>
      <w:r w:rsidRPr="0086037A">
        <w:rPr>
          <w:rFonts w:eastAsia="Times New Roman"/>
        </w:rPr>
        <w:t xml:space="preserve">as the capture antibody which recognizes aa 210-220 with obligatory phosphorylation at 217 and enhanced binding when neighboring epitopes are phosphorylated.  The detection antibody (hT43) recognizes amino acids 7-20. The assay signal is reduced </w:t>
      </w:r>
      <w:r w:rsidR="002F3842" w:rsidRPr="0086037A">
        <w:rPr>
          <w:rFonts w:eastAsia="Times New Roman"/>
        </w:rPr>
        <w:t xml:space="preserve">when </w:t>
      </w:r>
      <w:r w:rsidRPr="0086037A">
        <w:rPr>
          <w:rFonts w:eastAsia="Times New Roman"/>
        </w:rPr>
        <w:t>JNJ-63733657 is present due to competition for epitope binding (2</w:t>
      </w:r>
      <w:r w:rsidR="00CD2A23" w:rsidRPr="0086037A">
        <w:rPr>
          <w:rFonts w:eastAsia="Times New Roman"/>
        </w:rPr>
        <w:t>7</w:t>
      </w:r>
      <w:r w:rsidRPr="0086037A">
        <w:rPr>
          <w:rFonts w:eastAsia="Times New Roman"/>
        </w:rPr>
        <w:t xml:space="preserve">).  </w:t>
      </w:r>
      <w:r w:rsidRPr="0086037A">
        <w:rPr>
          <w:rFonts w:eastAsia="Times New Roman"/>
        </w:rPr>
        <w:br/>
      </w:r>
    </w:p>
    <w:p w14:paraId="7E59D088" w14:textId="77777777" w:rsidR="00CE47A7" w:rsidRPr="0086037A" w:rsidRDefault="00CE47A7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1C2F3153" w14:textId="77777777" w:rsidR="00CD2A23" w:rsidRPr="0086037A" w:rsidRDefault="00CD2A23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3B721D68" w14:textId="347663EF" w:rsidR="00CD2A23" w:rsidRPr="00B57071" w:rsidRDefault="00CD2A23" w:rsidP="00CE47A7">
      <w:pPr>
        <w:pStyle w:val="Paragraphedeliste"/>
        <w:spacing w:before="120" w:after="120" w:line="360" w:lineRule="auto"/>
        <w:rPr>
          <w:rFonts w:eastAsia="Times New Roman"/>
          <w:sz w:val="18"/>
          <w:szCs w:val="18"/>
        </w:rPr>
        <w:sectPr w:rsidR="00CD2A23" w:rsidRPr="00B570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7071">
        <w:rPr>
          <w:rFonts w:eastAsia="Times New Roman"/>
          <w:sz w:val="18"/>
          <w:szCs w:val="18"/>
        </w:rPr>
        <w:t xml:space="preserve">27. Triana-Baltzer G, Van </w:t>
      </w:r>
      <w:proofErr w:type="spellStart"/>
      <w:r w:rsidRPr="00B57071">
        <w:rPr>
          <w:rFonts w:eastAsia="Times New Roman"/>
          <w:sz w:val="18"/>
          <w:szCs w:val="18"/>
        </w:rPr>
        <w:t>Kolen</w:t>
      </w:r>
      <w:proofErr w:type="spellEnd"/>
      <w:r w:rsidRPr="00B57071">
        <w:rPr>
          <w:rFonts w:eastAsia="Times New Roman"/>
          <w:sz w:val="18"/>
          <w:szCs w:val="18"/>
        </w:rPr>
        <w:t xml:space="preserve"> K, </w:t>
      </w:r>
      <w:proofErr w:type="spellStart"/>
      <w:r w:rsidRPr="00B57071">
        <w:rPr>
          <w:rFonts w:eastAsia="Times New Roman"/>
          <w:sz w:val="18"/>
          <w:szCs w:val="18"/>
        </w:rPr>
        <w:t>Theunis</w:t>
      </w:r>
      <w:proofErr w:type="spellEnd"/>
      <w:r w:rsidRPr="00B57071">
        <w:rPr>
          <w:rFonts w:eastAsia="Times New Roman"/>
          <w:sz w:val="18"/>
          <w:szCs w:val="18"/>
        </w:rPr>
        <w:t xml:space="preserve"> C, et al. Development and Validation of a High Sensitivity Assay for Measuring p217 + tau in Cerebrospinal Fluid. J </w:t>
      </w:r>
      <w:proofErr w:type="spellStart"/>
      <w:r w:rsidRPr="00B57071">
        <w:rPr>
          <w:rFonts w:eastAsia="Times New Roman"/>
          <w:sz w:val="18"/>
          <w:szCs w:val="18"/>
        </w:rPr>
        <w:t>Alzheimers</w:t>
      </w:r>
      <w:proofErr w:type="spellEnd"/>
      <w:r w:rsidRPr="00B57071">
        <w:rPr>
          <w:rFonts w:eastAsia="Times New Roman"/>
          <w:sz w:val="18"/>
          <w:szCs w:val="18"/>
        </w:rPr>
        <w:t xml:space="preserve"> Dis 2020; 77:1417-1430</w:t>
      </w:r>
    </w:p>
    <w:p w14:paraId="38E9C07B" w14:textId="480F5387" w:rsidR="00CE47A7" w:rsidRPr="0086037A" w:rsidRDefault="00CE47A7" w:rsidP="00CE47A7">
      <w:pPr>
        <w:pStyle w:val="Paragraphedeliste"/>
        <w:numPr>
          <w:ilvl w:val="0"/>
          <w:numId w:val="4"/>
        </w:numPr>
        <w:spacing w:before="120" w:after="120" w:line="360" w:lineRule="auto"/>
        <w:rPr>
          <w:rFonts w:eastAsia="Times New Roman"/>
        </w:rPr>
      </w:pPr>
      <w:r w:rsidRPr="0086037A">
        <w:rPr>
          <w:rFonts w:eastAsia="Times New Roman"/>
        </w:rPr>
        <w:lastRenderedPageBreak/>
        <w:t>Tau is a heat stable molecule, while antibodies are not.  Therefore</w:t>
      </w:r>
      <w:r w:rsidR="002F3842" w:rsidRPr="0086037A">
        <w:rPr>
          <w:rFonts w:eastAsia="Times New Roman"/>
        </w:rPr>
        <w:t>,</w:t>
      </w:r>
      <w:r w:rsidRPr="0086037A">
        <w:rPr>
          <w:rFonts w:eastAsia="Times New Roman"/>
        </w:rPr>
        <w:t xml:space="preserve"> heat denaturation allows for measurement of all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 xml:space="preserve">molecules in the presence of binding antibodies.  FREE p217+tau (left column) is measured in non-denatured CSF and quantifies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 xml:space="preserve">not bound by JNJ-63733657.  TOTAL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 xml:space="preserve">(middle column) is measured after heat denaturation of the CSF and quantifies all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 xml:space="preserve">(FREE + BOUND). After denaturation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 xml:space="preserve">can be bound by the pT3-coated Simoa beads, which are added after the heat denaturation step.  BOUND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>(right column) reflects TOTAL minus FREE p217+</w:t>
      </w:r>
      <w:r w:rsidR="002F753C" w:rsidRPr="0086037A">
        <w:rPr>
          <w:rFonts w:eastAsia="Times New Roman"/>
        </w:rPr>
        <w:t xml:space="preserve"> </w:t>
      </w:r>
      <w:r w:rsidRPr="0086037A">
        <w:rPr>
          <w:rFonts w:eastAsia="Times New Roman"/>
        </w:rPr>
        <w:t xml:space="preserve">tau, and thus quantifies </w:t>
      </w:r>
      <w:r w:rsidR="00AB7D6E">
        <w:rPr>
          <w:rFonts w:eastAsia="Times New Roman"/>
        </w:rPr>
        <w:t xml:space="preserve">p217+tau </w:t>
      </w:r>
      <w:r w:rsidRPr="0086037A">
        <w:rPr>
          <w:rFonts w:eastAsia="Times New Roman"/>
        </w:rPr>
        <w:t>bound by JNJ-63733657.</w:t>
      </w:r>
    </w:p>
    <w:p w14:paraId="12AA654A" w14:textId="5B81CDB5" w:rsidR="00CE47A7" w:rsidRPr="0086037A" w:rsidRDefault="00FF5005" w:rsidP="00CE47A7">
      <w:pPr>
        <w:pStyle w:val="Paragraphedeliste"/>
        <w:spacing w:before="120" w:after="120"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DBD8028" wp14:editId="25A5A02D">
            <wp:simplePos x="0" y="0"/>
            <wp:positionH relativeFrom="column">
              <wp:posOffset>461176</wp:posOffset>
            </wp:positionH>
            <wp:positionV relativeFrom="paragraph">
              <wp:posOffset>-3368</wp:posOffset>
            </wp:positionV>
            <wp:extent cx="7285351" cy="3010161"/>
            <wp:effectExtent l="0" t="0" r="0" b="0"/>
            <wp:wrapTight wrapText="bothSides">
              <wp:wrapPolygon edited="0">
                <wp:start x="0" y="0"/>
                <wp:lineTo x="0" y="21463"/>
                <wp:lineTo x="21521" y="21463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351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7A7" w:rsidRPr="0086037A">
        <w:rPr>
          <w:rFonts w:eastAsia="Times New Roman"/>
        </w:rPr>
        <w:br/>
      </w:r>
    </w:p>
    <w:p w14:paraId="4C628F95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1D6BBDF7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09202CDF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12917965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590230F6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30DFC69D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28AEA547" w14:textId="77777777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6999A0A0" w14:textId="576B46FE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</w:pPr>
    </w:p>
    <w:p w14:paraId="298B1861" w14:textId="3B57DF15" w:rsidR="002D6FD9" w:rsidRPr="0086037A" w:rsidRDefault="00FF5005" w:rsidP="00CE47A7">
      <w:pPr>
        <w:pStyle w:val="Paragraphedeliste"/>
        <w:spacing w:before="120" w:after="120"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EA01B" wp14:editId="4403F2C4">
            <wp:simplePos x="0" y="0"/>
            <wp:positionH relativeFrom="column">
              <wp:posOffset>1598046</wp:posOffset>
            </wp:positionH>
            <wp:positionV relativeFrom="paragraph">
              <wp:posOffset>5466</wp:posOffset>
            </wp:positionV>
            <wp:extent cx="4724809" cy="723963"/>
            <wp:effectExtent l="0" t="0" r="0" b="0"/>
            <wp:wrapTight wrapText="bothSides">
              <wp:wrapPolygon edited="0">
                <wp:start x="0" y="0"/>
                <wp:lineTo x="0" y="21032"/>
                <wp:lineTo x="21513" y="21032"/>
                <wp:lineTo x="215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72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F074" w14:textId="5E31E62B" w:rsidR="002D6FD9" w:rsidRPr="0086037A" w:rsidRDefault="002D6FD9" w:rsidP="00CE47A7">
      <w:pPr>
        <w:pStyle w:val="Paragraphedeliste"/>
        <w:spacing w:before="120" w:after="120" w:line="360" w:lineRule="auto"/>
        <w:rPr>
          <w:rFonts w:eastAsia="Times New Roman"/>
        </w:rPr>
        <w:sectPr w:rsidR="002D6FD9" w:rsidRPr="0086037A" w:rsidSect="00CE47A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C0AEC42" w14:textId="58A6D6EC" w:rsidR="00CE47A7" w:rsidRPr="0086037A" w:rsidRDefault="00CE47A7" w:rsidP="00CE47A7">
      <w:pPr>
        <w:pStyle w:val="Paragraphedeliste"/>
        <w:spacing w:before="120" w:after="120" w:line="360" w:lineRule="auto"/>
        <w:ind w:left="0"/>
        <w:rPr>
          <w:rFonts w:eastAsia="Times New Roman"/>
        </w:rPr>
      </w:pPr>
      <w:r w:rsidRPr="0086037A">
        <w:rPr>
          <w:rFonts w:eastAsia="Times New Roman"/>
        </w:rPr>
        <w:lastRenderedPageBreak/>
        <w:t xml:space="preserve">C.  CSF spiked with JNJ-63733657 (1 ug/ml) in vitro demonstrates competition of </w:t>
      </w:r>
      <w:r w:rsidR="000E2FFA" w:rsidRPr="0086037A">
        <w:rPr>
          <w:rFonts w:eastAsia="Times New Roman"/>
        </w:rPr>
        <w:t>Simoa</w:t>
      </w:r>
      <w:r w:rsidRPr="0086037A">
        <w:rPr>
          <w:rFonts w:eastAsia="Times New Roman"/>
        </w:rPr>
        <w:t xml:space="preserve"> assay signal (1st 2 bars). Heat denaturation of the CSF (≥2 minutes), rescues the </w:t>
      </w:r>
      <w:r w:rsidR="000E2FFA" w:rsidRPr="0086037A">
        <w:rPr>
          <w:rFonts w:eastAsia="Times New Roman"/>
        </w:rPr>
        <w:t>Simoa</w:t>
      </w:r>
      <w:r w:rsidRPr="0086037A">
        <w:rPr>
          <w:rFonts w:eastAsia="Times New Roman"/>
        </w:rPr>
        <w:t xml:space="preserve"> assay signal (last 6 bars)</w:t>
      </w:r>
    </w:p>
    <w:p w14:paraId="7C783373" w14:textId="77777777" w:rsidR="009D3EC6" w:rsidRPr="0086037A" w:rsidRDefault="009D3EC6" w:rsidP="00CE47A7">
      <w:pPr>
        <w:pStyle w:val="Paragraphedeliste"/>
        <w:spacing w:before="120" w:after="120" w:line="360" w:lineRule="auto"/>
        <w:ind w:left="0"/>
        <w:rPr>
          <w:rFonts w:eastAsia="Times New Roman"/>
        </w:rPr>
      </w:pPr>
    </w:p>
    <w:p w14:paraId="786C981D" w14:textId="7F6BB660" w:rsidR="009D3EC6" w:rsidRPr="0086037A" w:rsidRDefault="00F85288" w:rsidP="00CE47A7">
      <w:pPr>
        <w:pStyle w:val="Paragraphedeliste"/>
        <w:spacing w:before="120" w:after="120" w:line="360" w:lineRule="auto"/>
        <w:ind w:left="0"/>
        <w:rPr>
          <w:rFonts w:eastAsia="Times New Roman"/>
        </w:rPr>
      </w:pPr>
      <w:r w:rsidRPr="00196DAA">
        <w:rPr>
          <w:rFonts w:eastAsia="Times New Roman"/>
          <w:noProof/>
          <w14:ligatures w14:val="standardContextual"/>
        </w:rPr>
        <w:object w:dxaOrig="6572" w:dyaOrig="6668" w14:anchorId="3943F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7.9pt;height:333.6pt;mso-width-percent:0;mso-height-percent:0;mso-width-percent:0;mso-height-percent:0" o:ole="">
            <v:imagedata r:id="rId8" o:title=""/>
          </v:shape>
          <o:OLEObject Type="Embed" ProgID="Prism8.Document" ShapeID="_x0000_i1025" DrawAspect="Content" ObjectID="_1784775826" r:id="rId9"/>
        </w:object>
      </w:r>
    </w:p>
    <w:p w14:paraId="43802170" w14:textId="77777777" w:rsidR="00CE47A7" w:rsidRPr="0086037A" w:rsidRDefault="00CE47A7" w:rsidP="000A493D">
      <w:pPr>
        <w:spacing w:before="120" w:after="120" w:line="360" w:lineRule="auto"/>
        <w:rPr>
          <w:rFonts w:eastAsia="Times New Roman"/>
          <w:b/>
          <w:bCs/>
        </w:rPr>
      </w:pPr>
    </w:p>
    <w:p w14:paraId="117F8D4F" w14:textId="08A89F33" w:rsidR="00CE47A7" w:rsidRPr="0086037A" w:rsidRDefault="00CE47A7" w:rsidP="000A493D">
      <w:pPr>
        <w:spacing w:before="120" w:after="120" w:line="360" w:lineRule="auto"/>
        <w:rPr>
          <w:rFonts w:eastAsia="Times New Roman"/>
          <w:b/>
          <w:bCs/>
        </w:rPr>
        <w:sectPr w:rsidR="00CE47A7" w:rsidRPr="0086037A" w:rsidSect="00CE47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79AE95" w14:textId="4AFC82F8" w:rsidR="00971F65" w:rsidRDefault="000A493D" w:rsidP="000A49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  <w:r w:rsidRPr="0086037A">
        <w:rPr>
          <w:rFonts w:eastAsia="Times New Roman"/>
          <w:b/>
          <w:bCs/>
        </w:rPr>
        <w:lastRenderedPageBreak/>
        <w:t>Supplementary Figure 2</w:t>
      </w:r>
      <w:r w:rsidRPr="0086037A">
        <w:rPr>
          <w:rFonts w:eastAsia="Times New Roman"/>
        </w:rPr>
        <w:t xml:space="preserve">. </w:t>
      </w:r>
      <w:r w:rsidRPr="0086037A">
        <w:rPr>
          <w:rStyle w:val="cf01"/>
          <w:rFonts w:eastAsia="Times New Roman"/>
          <w:sz w:val="18"/>
          <w:szCs w:val="18"/>
        </w:rPr>
        <w:t xml:space="preserve">Change in CSF total </w:t>
      </w:r>
      <w:r w:rsidR="00AB7D6E">
        <w:rPr>
          <w:rStyle w:val="cf01"/>
          <w:rFonts w:eastAsia="Times New Roman"/>
          <w:sz w:val="18"/>
          <w:szCs w:val="18"/>
        </w:rPr>
        <w:t xml:space="preserve">p217+tau </w:t>
      </w:r>
      <w:r w:rsidRPr="0086037A">
        <w:rPr>
          <w:rStyle w:val="cf01"/>
          <w:rFonts w:eastAsia="Times New Roman"/>
          <w:sz w:val="18"/>
          <w:szCs w:val="18"/>
        </w:rPr>
        <w:t>as percent of baseline (mean +/- SD) following administration of (A) Single IV doses in healthy participants in the FIH study, and (B) multiple IV doses in healthy participants or participants with AD.</w:t>
      </w:r>
      <w:r w:rsidR="009A70E2" w:rsidRPr="0086037A">
        <w:rPr>
          <w:rStyle w:val="cf01"/>
          <w:rFonts w:eastAsia="Times New Roman"/>
          <w:sz w:val="18"/>
          <w:szCs w:val="18"/>
        </w:rPr>
        <w:t xml:space="preserve"> </w:t>
      </w:r>
      <w:bookmarkStart w:id="0" w:name="_Hlk174093515"/>
      <w:r w:rsidR="00971F65" w:rsidRPr="009A5BC6">
        <w:rPr>
          <w:rStyle w:val="cf01"/>
          <w:rFonts w:eastAsia="Times New Roman"/>
          <w:sz w:val="18"/>
          <w:szCs w:val="18"/>
        </w:rPr>
        <w:t>The Japanese study showed similar results (data not shown).</w:t>
      </w:r>
      <w:bookmarkEnd w:id="0"/>
    </w:p>
    <w:p w14:paraId="05559014" w14:textId="77777777" w:rsidR="00971F65" w:rsidRDefault="00971F65" w:rsidP="000A49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</w:p>
    <w:p w14:paraId="513E4AEB" w14:textId="53F5A2F7" w:rsidR="006D5D24" w:rsidRPr="0086037A" w:rsidRDefault="006D5D24" w:rsidP="000A49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  <w:r w:rsidRPr="0086037A">
        <w:rPr>
          <w:rStyle w:val="cf01"/>
          <w:rFonts w:eastAsia="Times New Roman"/>
          <w:sz w:val="18"/>
          <w:szCs w:val="18"/>
        </w:rPr>
        <w:t>A.</w:t>
      </w:r>
    </w:p>
    <w:p w14:paraId="08522BE3" w14:textId="50D22327" w:rsidR="000A493D" w:rsidRPr="0086037A" w:rsidRDefault="000A493D" w:rsidP="000A493D">
      <w:pPr>
        <w:spacing w:before="120" w:after="120" w:line="360" w:lineRule="auto"/>
        <w:rPr>
          <w:rFonts w:eastAsia="Times New Roman"/>
        </w:rPr>
      </w:pPr>
      <w:r w:rsidRPr="0086037A">
        <w:rPr>
          <w:noProof/>
        </w:rPr>
        <w:drawing>
          <wp:anchor distT="0" distB="0" distL="114300" distR="114300" simplePos="0" relativeHeight="251660288" behindDoc="1" locked="0" layoutInCell="1" allowOverlap="1" wp14:anchorId="41261B0B" wp14:editId="6E7F933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314825" cy="2820670"/>
            <wp:effectExtent l="0" t="0" r="0" b="0"/>
            <wp:wrapTight wrapText="bothSides">
              <wp:wrapPolygon edited="0">
                <wp:start x="0" y="0"/>
                <wp:lineTo x="0" y="21444"/>
                <wp:lineTo x="21457" y="21444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409" cy="282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90DE" w14:textId="776C2262" w:rsidR="006D5D24" w:rsidRPr="0086037A" w:rsidRDefault="006D5D24">
      <w:pPr>
        <w:rPr>
          <w:rFonts w:eastAsia="Times New Roman"/>
          <w:b/>
          <w:bCs/>
        </w:rPr>
      </w:pPr>
    </w:p>
    <w:p w14:paraId="170226D6" w14:textId="3B6FD925" w:rsidR="006D5D24" w:rsidRPr="0086037A" w:rsidRDefault="006D5D24">
      <w:pPr>
        <w:rPr>
          <w:rFonts w:eastAsia="Times New Roman"/>
          <w:b/>
          <w:bCs/>
        </w:rPr>
      </w:pPr>
    </w:p>
    <w:p w14:paraId="20ECF62A" w14:textId="5A08D4A3" w:rsidR="006D5D24" w:rsidRPr="0086037A" w:rsidRDefault="006D5D24">
      <w:pPr>
        <w:rPr>
          <w:rFonts w:eastAsia="Times New Roman"/>
          <w:b/>
          <w:bCs/>
        </w:rPr>
      </w:pPr>
    </w:p>
    <w:p w14:paraId="1A207671" w14:textId="6E6A6157" w:rsidR="006D5D24" w:rsidRPr="0086037A" w:rsidRDefault="006D5D24">
      <w:pPr>
        <w:rPr>
          <w:rFonts w:eastAsia="Times New Roman"/>
          <w:b/>
          <w:bCs/>
        </w:rPr>
      </w:pPr>
    </w:p>
    <w:p w14:paraId="63F539E3" w14:textId="4FF4C568" w:rsidR="006D5D24" w:rsidRPr="0086037A" w:rsidRDefault="006D5D24">
      <w:pPr>
        <w:rPr>
          <w:rFonts w:eastAsia="Times New Roman"/>
          <w:b/>
          <w:bCs/>
        </w:rPr>
      </w:pPr>
    </w:p>
    <w:p w14:paraId="022155EE" w14:textId="7327AE70" w:rsidR="006D5D24" w:rsidRPr="0086037A" w:rsidRDefault="006D5D24">
      <w:pPr>
        <w:rPr>
          <w:rFonts w:eastAsia="Times New Roman"/>
          <w:b/>
          <w:bCs/>
        </w:rPr>
      </w:pPr>
    </w:p>
    <w:p w14:paraId="59F0CC38" w14:textId="7EE6241F" w:rsidR="006D5D24" w:rsidRPr="0086037A" w:rsidRDefault="006D5D24">
      <w:pPr>
        <w:rPr>
          <w:rFonts w:eastAsia="Times New Roman"/>
          <w:b/>
          <w:bCs/>
        </w:rPr>
      </w:pPr>
    </w:p>
    <w:p w14:paraId="3183508F" w14:textId="7D1B0DF4" w:rsidR="006D5D24" w:rsidRPr="0086037A" w:rsidRDefault="006D5D24">
      <w:pPr>
        <w:rPr>
          <w:rFonts w:eastAsia="Times New Roman"/>
          <w:b/>
          <w:bCs/>
        </w:rPr>
      </w:pPr>
    </w:p>
    <w:p w14:paraId="0C6753AF" w14:textId="3EB16D89" w:rsidR="006D5D24" w:rsidRPr="0086037A" w:rsidRDefault="006D5D24">
      <w:pPr>
        <w:rPr>
          <w:rFonts w:eastAsia="Times New Roman"/>
          <w:b/>
          <w:bCs/>
        </w:rPr>
      </w:pPr>
    </w:p>
    <w:p w14:paraId="04D492D1" w14:textId="6A882A52" w:rsidR="006D5D24" w:rsidRPr="0086037A" w:rsidRDefault="006D5D24">
      <w:pPr>
        <w:rPr>
          <w:rFonts w:eastAsia="Times New Roman"/>
          <w:b/>
          <w:bCs/>
        </w:rPr>
      </w:pPr>
      <w:r w:rsidRPr="0086037A">
        <w:rPr>
          <w:rFonts w:eastAsia="Times New Roman"/>
          <w:b/>
          <w:bCs/>
        </w:rPr>
        <w:t xml:space="preserve">B. </w:t>
      </w:r>
    </w:p>
    <w:p w14:paraId="70DCF0A0" w14:textId="416ED519" w:rsidR="006D5D24" w:rsidRPr="0086037A" w:rsidRDefault="006D5D24">
      <w:pPr>
        <w:rPr>
          <w:rFonts w:eastAsia="Times New Roman"/>
          <w:b/>
          <w:bCs/>
        </w:rPr>
      </w:pPr>
      <w:r w:rsidRPr="0086037A">
        <w:rPr>
          <w:noProof/>
        </w:rPr>
        <w:drawing>
          <wp:anchor distT="0" distB="0" distL="114300" distR="114300" simplePos="0" relativeHeight="251663360" behindDoc="1" locked="0" layoutInCell="1" allowOverlap="1" wp14:anchorId="6848FE30" wp14:editId="53F1F4A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4324350" cy="2585832"/>
            <wp:effectExtent l="0" t="0" r="0" b="5080"/>
            <wp:wrapTight wrapText="bothSides">
              <wp:wrapPolygon edited="0">
                <wp:start x="0" y="0"/>
                <wp:lineTo x="0" y="21483"/>
                <wp:lineTo x="21505" y="21483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8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9DBC" w14:textId="77777777" w:rsidR="006D5D24" w:rsidRPr="0086037A" w:rsidRDefault="006D5D24">
      <w:pPr>
        <w:rPr>
          <w:rFonts w:eastAsia="Times New Roman"/>
          <w:b/>
          <w:bCs/>
        </w:rPr>
      </w:pPr>
    </w:p>
    <w:p w14:paraId="5B45686E" w14:textId="77777777" w:rsidR="006D5D24" w:rsidRPr="0086037A" w:rsidRDefault="006D5D24">
      <w:pPr>
        <w:rPr>
          <w:rFonts w:eastAsia="Times New Roman"/>
          <w:b/>
          <w:bCs/>
        </w:rPr>
      </w:pPr>
    </w:p>
    <w:p w14:paraId="4FBDA760" w14:textId="77777777" w:rsidR="006D5D24" w:rsidRPr="0086037A" w:rsidRDefault="006D5D24">
      <w:pPr>
        <w:rPr>
          <w:rFonts w:eastAsia="Times New Roman"/>
          <w:b/>
          <w:bCs/>
        </w:rPr>
      </w:pPr>
    </w:p>
    <w:p w14:paraId="39617B0E" w14:textId="77777777" w:rsidR="006D5D24" w:rsidRPr="0086037A" w:rsidRDefault="006D5D24">
      <w:pPr>
        <w:rPr>
          <w:rFonts w:eastAsia="Times New Roman"/>
          <w:b/>
          <w:bCs/>
        </w:rPr>
      </w:pPr>
    </w:p>
    <w:p w14:paraId="50280ED3" w14:textId="77777777" w:rsidR="006D5D24" w:rsidRPr="0086037A" w:rsidRDefault="006D5D24">
      <w:pPr>
        <w:rPr>
          <w:rFonts w:eastAsia="Times New Roman"/>
          <w:b/>
          <w:bCs/>
        </w:rPr>
      </w:pPr>
    </w:p>
    <w:p w14:paraId="07F4688B" w14:textId="77777777" w:rsidR="006D5D24" w:rsidRPr="0086037A" w:rsidRDefault="006D5D24">
      <w:pPr>
        <w:rPr>
          <w:rFonts w:eastAsia="Times New Roman"/>
          <w:b/>
          <w:bCs/>
        </w:rPr>
      </w:pPr>
    </w:p>
    <w:p w14:paraId="3973A57B" w14:textId="77777777" w:rsidR="006D5D24" w:rsidRPr="0086037A" w:rsidRDefault="006D5D24">
      <w:pPr>
        <w:rPr>
          <w:rFonts w:eastAsia="Times New Roman"/>
          <w:b/>
          <w:bCs/>
        </w:rPr>
      </w:pPr>
    </w:p>
    <w:p w14:paraId="31BD3C00" w14:textId="77777777" w:rsidR="006D5D24" w:rsidRPr="0086037A" w:rsidRDefault="006D5D24">
      <w:pPr>
        <w:rPr>
          <w:rFonts w:eastAsia="Times New Roman"/>
          <w:b/>
          <w:bCs/>
        </w:rPr>
      </w:pPr>
    </w:p>
    <w:p w14:paraId="5B337A34" w14:textId="77777777" w:rsidR="006D5D24" w:rsidRPr="0086037A" w:rsidRDefault="006D5D24">
      <w:pPr>
        <w:rPr>
          <w:rFonts w:eastAsia="Times New Roman"/>
          <w:b/>
          <w:bCs/>
        </w:rPr>
      </w:pPr>
    </w:p>
    <w:p w14:paraId="60E3FA40" w14:textId="77777777" w:rsidR="006D5D24" w:rsidRPr="0086037A" w:rsidRDefault="006D5D24" w:rsidP="006D5D24"/>
    <w:p w14:paraId="25044F87" w14:textId="77777777" w:rsidR="006D5D24" w:rsidRPr="0086037A" w:rsidRDefault="006D5D24" w:rsidP="006D5D24">
      <w:pPr>
        <w:spacing w:before="120" w:after="120" w:line="360" w:lineRule="auto"/>
      </w:pPr>
      <w:r w:rsidRPr="0086037A">
        <w:t xml:space="preserve">Footnote: HP, Healthy participants; AD, Alzheimer’s Disease; SD, Standard deviation  </w:t>
      </w:r>
    </w:p>
    <w:p w14:paraId="2AF2DE8E" w14:textId="43B393A2" w:rsidR="000A493D" w:rsidRPr="0086037A" w:rsidRDefault="000A493D">
      <w:pPr>
        <w:rPr>
          <w:rFonts w:eastAsia="Times New Roman"/>
          <w:b/>
          <w:bCs/>
        </w:rPr>
      </w:pPr>
      <w:r w:rsidRPr="0086037A">
        <w:rPr>
          <w:rFonts w:eastAsia="Times New Roman"/>
          <w:b/>
          <w:bCs/>
        </w:rPr>
        <w:br w:type="page"/>
      </w:r>
    </w:p>
    <w:p w14:paraId="795345AA" w14:textId="77777777" w:rsidR="00971F65" w:rsidRDefault="00931F3D" w:rsidP="00931F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  <w:r w:rsidRPr="0086037A">
        <w:rPr>
          <w:rFonts w:eastAsia="Times New Roman"/>
          <w:b/>
          <w:bCs/>
        </w:rPr>
        <w:lastRenderedPageBreak/>
        <w:t>Supplementary Figure 3</w:t>
      </w:r>
      <w:r w:rsidRPr="0086037A">
        <w:rPr>
          <w:rFonts w:eastAsia="Times New Roman"/>
        </w:rPr>
        <w:t xml:space="preserve">. </w:t>
      </w:r>
      <w:r w:rsidRPr="0086037A">
        <w:rPr>
          <w:rStyle w:val="cf01"/>
          <w:rFonts w:eastAsia="Times New Roman"/>
          <w:sz w:val="18"/>
          <w:szCs w:val="18"/>
        </w:rPr>
        <w:t>Change in CSF total tau (tTau) as percent of baseline (mean +/- SD) following administration of (A) Single IV doses in healthy participants in the FIH study, and (B) multiple IV doses in healthy participants or participants with AD.</w:t>
      </w:r>
      <w:r w:rsidR="00F702C4" w:rsidRPr="0086037A">
        <w:rPr>
          <w:rStyle w:val="cf01"/>
          <w:rFonts w:eastAsia="Times New Roman"/>
          <w:sz w:val="18"/>
          <w:szCs w:val="18"/>
        </w:rPr>
        <w:t xml:space="preserve"> </w:t>
      </w:r>
      <w:r w:rsidR="00971F65" w:rsidRPr="00971F65">
        <w:rPr>
          <w:rStyle w:val="cf01"/>
          <w:rFonts w:eastAsia="Times New Roman"/>
          <w:sz w:val="18"/>
          <w:szCs w:val="18"/>
        </w:rPr>
        <w:t>The Japanese study showed similar results (data not shown).</w:t>
      </w:r>
    </w:p>
    <w:p w14:paraId="622C76E0" w14:textId="77777777" w:rsidR="00971F65" w:rsidRDefault="00971F65" w:rsidP="00931F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</w:p>
    <w:p w14:paraId="14378C3C" w14:textId="0AA47516" w:rsidR="00931F3D" w:rsidRPr="0086037A" w:rsidRDefault="00931F3D" w:rsidP="00931F3D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  <w:r w:rsidRPr="0086037A">
        <w:rPr>
          <w:rStyle w:val="cf01"/>
          <w:rFonts w:eastAsia="Times New Roman"/>
          <w:sz w:val="18"/>
          <w:szCs w:val="18"/>
        </w:rPr>
        <w:t>A.</w:t>
      </w:r>
    </w:p>
    <w:p w14:paraId="35748F42" w14:textId="51C37908" w:rsidR="00931F3D" w:rsidRPr="0086037A" w:rsidRDefault="00931F3D" w:rsidP="00931F3D">
      <w:pPr>
        <w:spacing w:before="120" w:after="120" w:line="360" w:lineRule="auto"/>
        <w:rPr>
          <w:rFonts w:eastAsia="Times New Roman"/>
        </w:rPr>
      </w:pPr>
      <w:r w:rsidRPr="0086037A">
        <w:rPr>
          <w:noProof/>
        </w:rPr>
        <w:drawing>
          <wp:inline distT="0" distB="0" distL="0" distR="0" wp14:anchorId="53071AEC" wp14:editId="7456B7F5">
            <wp:extent cx="4339163" cy="28765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1534" cy="28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75AA" w14:textId="77777777" w:rsidR="00931F3D" w:rsidRPr="0086037A" w:rsidRDefault="00931F3D" w:rsidP="00931F3D">
      <w:pPr>
        <w:spacing w:before="120" w:after="120" w:line="360" w:lineRule="auto"/>
        <w:rPr>
          <w:rFonts w:eastAsia="Times New Roman"/>
        </w:rPr>
      </w:pPr>
    </w:p>
    <w:p w14:paraId="617BEEC3" w14:textId="7E1F8EC4" w:rsidR="00931F3D" w:rsidRPr="0086037A" w:rsidRDefault="00931F3D" w:rsidP="00931F3D">
      <w:pPr>
        <w:spacing w:before="120" w:after="120" w:line="360" w:lineRule="auto"/>
        <w:rPr>
          <w:rFonts w:eastAsia="Times New Roman"/>
        </w:rPr>
      </w:pPr>
      <w:r w:rsidRPr="0086037A">
        <w:rPr>
          <w:rFonts w:eastAsia="Times New Roman"/>
        </w:rPr>
        <w:t xml:space="preserve">B. </w:t>
      </w:r>
    </w:p>
    <w:p w14:paraId="05014D85" w14:textId="551CBB6D" w:rsidR="00931F3D" w:rsidRPr="0086037A" w:rsidRDefault="00EB72FA" w:rsidP="00931F3D">
      <w:pPr>
        <w:spacing w:before="120" w:after="120" w:line="360" w:lineRule="auto"/>
        <w:rPr>
          <w:rFonts w:eastAsia="Times New Roman"/>
        </w:rPr>
      </w:pPr>
      <w:r w:rsidRPr="0086037A">
        <w:rPr>
          <w:noProof/>
        </w:rPr>
        <w:drawing>
          <wp:inline distT="0" distB="0" distL="0" distR="0" wp14:anchorId="4A4F1944" wp14:editId="50259CF1">
            <wp:extent cx="4333875" cy="257161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809" cy="257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8701" w14:textId="77777777" w:rsidR="00F15D21" w:rsidRPr="0086037A" w:rsidRDefault="00F15D21" w:rsidP="00F15D21">
      <w:pPr>
        <w:spacing w:before="120" w:after="120" w:line="360" w:lineRule="auto"/>
      </w:pPr>
      <w:r w:rsidRPr="0086037A">
        <w:t xml:space="preserve">Footnote: HP, Healthy participants; AD, Alzheimer’s Disease; SD, Standard deviation  </w:t>
      </w:r>
    </w:p>
    <w:p w14:paraId="03F6D2F3" w14:textId="77777777" w:rsidR="00CE66BE" w:rsidRPr="0086037A" w:rsidRDefault="00CE66BE" w:rsidP="00931F3D">
      <w:pPr>
        <w:spacing w:before="120" w:after="120" w:line="360" w:lineRule="auto"/>
        <w:rPr>
          <w:rFonts w:eastAsia="Times New Roman"/>
        </w:rPr>
      </w:pPr>
    </w:p>
    <w:p w14:paraId="4F9E985C" w14:textId="77777777" w:rsidR="00971F65" w:rsidRDefault="00475F3B" w:rsidP="00971F65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  <w:r w:rsidRPr="0086037A">
        <w:rPr>
          <w:rFonts w:eastAsia="Times New Roman"/>
          <w:b/>
          <w:bCs/>
        </w:rPr>
        <w:t>Supplementary Figure 4</w:t>
      </w:r>
      <w:r w:rsidRPr="0086037A">
        <w:rPr>
          <w:rFonts w:eastAsia="Times New Roman"/>
        </w:rPr>
        <w:t xml:space="preserve">. </w:t>
      </w:r>
      <w:r w:rsidRPr="0086037A">
        <w:rPr>
          <w:rStyle w:val="cf01"/>
          <w:rFonts w:eastAsia="Times New Roman"/>
          <w:sz w:val="18"/>
          <w:szCs w:val="18"/>
        </w:rPr>
        <w:t>Change in CSF p181tau as percent of baseline (mean +/- SD) following administration of (A) Single IV doses in healthy participants in the FIH study, and (B) multiple IV doses in healthy participants or participants with AD.</w:t>
      </w:r>
      <w:r w:rsidR="00F702C4" w:rsidRPr="0086037A">
        <w:rPr>
          <w:rStyle w:val="cf01"/>
          <w:rFonts w:eastAsia="Times New Roman"/>
          <w:sz w:val="18"/>
          <w:szCs w:val="18"/>
        </w:rPr>
        <w:t xml:space="preserve"> </w:t>
      </w:r>
      <w:r w:rsidR="00971F65" w:rsidRPr="00971F65">
        <w:rPr>
          <w:rStyle w:val="cf01"/>
          <w:rFonts w:eastAsia="Times New Roman"/>
          <w:sz w:val="18"/>
          <w:szCs w:val="18"/>
        </w:rPr>
        <w:t>The Japanese study showed similar results (data not shown).</w:t>
      </w:r>
    </w:p>
    <w:p w14:paraId="6A93A0EC" w14:textId="77777777" w:rsidR="00971F65" w:rsidRDefault="00971F65" w:rsidP="00971F65">
      <w:pPr>
        <w:spacing w:before="120" w:after="120" w:line="360" w:lineRule="auto"/>
        <w:rPr>
          <w:rStyle w:val="cf01"/>
          <w:rFonts w:eastAsia="Times New Roman"/>
          <w:sz w:val="18"/>
          <w:szCs w:val="18"/>
        </w:rPr>
      </w:pPr>
    </w:p>
    <w:p w14:paraId="306EA960" w14:textId="1247E11C" w:rsidR="00FD0293" w:rsidRPr="0086037A" w:rsidRDefault="00475F3B" w:rsidP="00971F65">
      <w:pPr>
        <w:spacing w:before="120" w:after="120" w:line="360" w:lineRule="auto"/>
      </w:pPr>
      <w:r w:rsidRPr="0086037A">
        <w:t>A.</w:t>
      </w:r>
    </w:p>
    <w:p w14:paraId="0CBE0816" w14:textId="048F8521" w:rsidR="001A0FD2" w:rsidRPr="0086037A" w:rsidRDefault="001A0FD2">
      <w:r w:rsidRPr="0086037A">
        <w:rPr>
          <w:noProof/>
        </w:rPr>
        <w:drawing>
          <wp:inline distT="0" distB="0" distL="0" distR="0" wp14:anchorId="10F2FDF6" wp14:editId="3E22929B">
            <wp:extent cx="4334678" cy="2814762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75" cy="282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54CF" w14:textId="77777777" w:rsidR="00475F3B" w:rsidRPr="0086037A" w:rsidRDefault="00475F3B"/>
    <w:p w14:paraId="440D3AEE" w14:textId="7F4E6CC0" w:rsidR="00475F3B" w:rsidRPr="0086037A" w:rsidRDefault="00475F3B">
      <w:r w:rsidRPr="0086037A">
        <w:t xml:space="preserve">B. </w:t>
      </w:r>
    </w:p>
    <w:p w14:paraId="05F6859D" w14:textId="3205B53C" w:rsidR="00475F3B" w:rsidRPr="0086037A" w:rsidRDefault="001A0FD2">
      <w:r w:rsidRPr="0086037A">
        <w:rPr>
          <w:noProof/>
        </w:rPr>
        <w:drawing>
          <wp:inline distT="0" distB="0" distL="0" distR="0" wp14:anchorId="20069A36" wp14:editId="07B15634">
            <wp:extent cx="4357315" cy="2622303"/>
            <wp:effectExtent l="0" t="0" r="571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3545" cy="26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7D98" w14:textId="77777777" w:rsidR="00475F3B" w:rsidRDefault="00475F3B" w:rsidP="00475F3B">
      <w:pPr>
        <w:spacing w:before="120" w:after="120" w:line="360" w:lineRule="auto"/>
      </w:pPr>
      <w:r w:rsidRPr="0086037A">
        <w:t>Footnote: HP, Healthy participants; AD, Alzheimer’s Disease; SD, Standard deviation</w:t>
      </w:r>
      <w:r>
        <w:t xml:space="preserve">  </w:t>
      </w:r>
    </w:p>
    <w:sectPr w:rsidR="0047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E80"/>
    <w:multiLevelType w:val="hybridMultilevel"/>
    <w:tmpl w:val="F2CE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661"/>
    <w:multiLevelType w:val="hybridMultilevel"/>
    <w:tmpl w:val="0AD288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47A2E"/>
    <w:multiLevelType w:val="hybridMultilevel"/>
    <w:tmpl w:val="F4F4EA28"/>
    <w:lvl w:ilvl="0" w:tplc="24064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85013">
    <w:abstractNumId w:val="0"/>
  </w:num>
  <w:num w:numId="2" w16cid:durableId="2017420838">
    <w:abstractNumId w:val="0"/>
  </w:num>
  <w:num w:numId="3" w16cid:durableId="1572036117">
    <w:abstractNumId w:val="2"/>
  </w:num>
  <w:num w:numId="4" w16cid:durableId="177119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3B"/>
    <w:rsid w:val="000A493D"/>
    <w:rsid w:val="000E2FFA"/>
    <w:rsid w:val="00150A09"/>
    <w:rsid w:val="00196DAA"/>
    <w:rsid w:val="001A0FD2"/>
    <w:rsid w:val="0021579E"/>
    <w:rsid w:val="002D6FD9"/>
    <w:rsid w:val="002F3842"/>
    <w:rsid w:val="002F753C"/>
    <w:rsid w:val="004356F2"/>
    <w:rsid w:val="0046243F"/>
    <w:rsid w:val="00475F3B"/>
    <w:rsid w:val="00694B8B"/>
    <w:rsid w:val="006D5D24"/>
    <w:rsid w:val="0086037A"/>
    <w:rsid w:val="00931F3D"/>
    <w:rsid w:val="00971F65"/>
    <w:rsid w:val="009A70E2"/>
    <w:rsid w:val="009D3EC6"/>
    <w:rsid w:val="00A23663"/>
    <w:rsid w:val="00A56EA8"/>
    <w:rsid w:val="00AB7D6E"/>
    <w:rsid w:val="00AD196C"/>
    <w:rsid w:val="00B57071"/>
    <w:rsid w:val="00C262D9"/>
    <w:rsid w:val="00CD2A23"/>
    <w:rsid w:val="00CE47A7"/>
    <w:rsid w:val="00CE66BE"/>
    <w:rsid w:val="00EB72FA"/>
    <w:rsid w:val="00F15D21"/>
    <w:rsid w:val="00F702C4"/>
    <w:rsid w:val="00F77B40"/>
    <w:rsid w:val="00F85288"/>
    <w:rsid w:val="00FD0293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5377"/>
  <w15:chartTrackingRefBased/>
  <w15:docId w15:val="{D3C34BA3-6C88-4B57-A720-5EF66C33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F3B"/>
    <w:pPr>
      <w:spacing w:line="252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cf01">
    <w:name w:val="cf01"/>
    <w:basedOn w:val="Policepardfaut"/>
    <w:rsid w:val="00475F3B"/>
    <w:rPr>
      <w:rFonts w:ascii="Segoe UI" w:hAnsi="Segoe UI" w:cs="Segoe UI" w:hint="default"/>
    </w:rPr>
  </w:style>
  <w:style w:type="paragraph" w:styleId="Rvision">
    <w:name w:val="Revision"/>
    <w:hidden/>
    <w:uiPriority w:val="99"/>
    <w:semiHidden/>
    <w:rsid w:val="002F384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F38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38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F38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8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Achenbach, Robert [JRDUS]</dc:creator>
  <cp:keywords/>
  <dc:description/>
  <cp:lastModifiedBy>Virginie Cassigneul</cp:lastModifiedBy>
  <cp:revision>2</cp:revision>
  <dcterms:created xsi:type="dcterms:W3CDTF">2024-08-10T04:17:00Z</dcterms:created>
  <dcterms:modified xsi:type="dcterms:W3CDTF">2024-08-10T04:17:00Z</dcterms:modified>
</cp:coreProperties>
</file>