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8AF7" w14:textId="77777777" w:rsidR="00E722FF" w:rsidRDefault="00E722FF" w:rsidP="00E722FF">
      <w:pPr>
        <w:spacing w:after="160"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SUPPLEMENTAL MATERIAL</w:t>
      </w:r>
    </w:p>
    <w:p w14:paraId="5EDDF2C1" w14:textId="77777777" w:rsidR="00E722FF" w:rsidRDefault="00E722FF" w:rsidP="00E722FF">
      <w:pPr>
        <w:spacing w:after="160"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Supplemental Table 1. </w:t>
      </w:r>
      <w:r w:rsidRPr="00CE7C39">
        <w:rPr>
          <w:rFonts w:ascii="Times" w:eastAsia="Times" w:hAnsi="Times" w:cs="Times"/>
        </w:rPr>
        <w:t>The pre- and post-disclosure probabilities of participants scoring a categorical VPAI item level of 1 (“very” or “extremely” important) for the four items</w:t>
      </w:r>
      <w:r>
        <w:rPr>
          <w:rFonts w:ascii="Times" w:eastAsia="Times" w:hAnsi="Times" w:cs="Times"/>
        </w:rPr>
        <w:t xml:space="preserve"> with significant interactions between amyloid group and time in the GEE models.</w:t>
      </w:r>
    </w:p>
    <w:p w14:paraId="03B6CBD4" w14:textId="77777777" w:rsidR="00E722FF" w:rsidRDefault="00E722FF" w:rsidP="00E722FF">
      <w:pPr>
        <w:spacing w:after="160" w:line="240" w:lineRule="auto"/>
        <w:rPr>
          <w:rFonts w:ascii="Times" w:eastAsia="Times" w:hAnsi="Times" w:cs="Time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9"/>
        <w:gridCol w:w="1714"/>
        <w:gridCol w:w="1647"/>
        <w:gridCol w:w="1530"/>
      </w:tblGrid>
      <w:tr w:rsidR="00E722FF" w:rsidRPr="009C566B" w14:paraId="37254318" w14:textId="77777777" w:rsidTr="004F5EA8">
        <w:trPr>
          <w:trHeight w:val="411"/>
        </w:trPr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14:paraId="16B64535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VPAI Items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6989B6C7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Amyloid group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6335D6CB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Pre-disclosure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37E162B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Post-disclosure</w:t>
            </w:r>
          </w:p>
        </w:tc>
      </w:tr>
      <w:tr w:rsidR="00E722FF" w:rsidRPr="009C566B" w14:paraId="27136834" w14:textId="77777777" w:rsidTr="004F5EA8">
        <w:trPr>
          <w:trHeight w:val="197"/>
        </w:trPr>
        <w:tc>
          <w:tcPr>
            <w:tcW w:w="2849" w:type="dxa"/>
            <w:vMerge w:val="restart"/>
            <w:tcBorders>
              <w:top w:val="single" w:sz="4" w:space="0" w:color="auto"/>
            </w:tcBorders>
          </w:tcPr>
          <w:p w14:paraId="2B8BB089" w14:textId="77777777" w:rsidR="00E722FF" w:rsidRPr="009C566B" w:rsidRDefault="00E722FF" w:rsidP="004F5EA8">
            <w:pPr>
              <w:spacing w:after="160" w:line="240" w:lineRule="auto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To put mind at ease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29002FD1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Not elevated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073739AC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0.66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CAC3FAB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0.72</w:t>
            </w:r>
          </w:p>
        </w:tc>
      </w:tr>
      <w:tr w:rsidR="00E722FF" w:rsidRPr="009C566B" w14:paraId="5A4DB815" w14:textId="77777777" w:rsidTr="004F5EA8">
        <w:trPr>
          <w:trHeight w:val="125"/>
        </w:trPr>
        <w:tc>
          <w:tcPr>
            <w:tcW w:w="2849" w:type="dxa"/>
            <w:vMerge/>
          </w:tcPr>
          <w:p w14:paraId="2E9147B7" w14:textId="77777777" w:rsidR="00E722FF" w:rsidRPr="009C566B" w:rsidRDefault="00E722FF" w:rsidP="004F5EA8">
            <w:pPr>
              <w:spacing w:after="160" w:line="240" w:lineRule="auto"/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1714" w:type="dxa"/>
          </w:tcPr>
          <w:p w14:paraId="1679137F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Elevated</w:t>
            </w:r>
          </w:p>
        </w:tc>
        <w:tc>
          <w:tcPr>
            <w:tcW w:w="1647" w:type="dxa"/>
          </w:tcPr>
          <w:p w14:paraId="3DEDA4B6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0.69</w:t>
            </w:r>
          </w:p>
        </w:tc>
        <w:tc>
          <w:tcPr>
            <w:tcW w:w="1530" w:type="dxa"/>
          </w:tcPr>
          <w:p w14:paraId="60D4AF16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0.62</w:t>
            </w:r>
          </w:p>
        </w:tc>
      </w:tr>
      <w:tr w:rsidR="00E722FF" w:rsidRPr="009C566B" w14:paraId="5B1A4B05" w14:textId="77777777" w:rsidTr="004F5EA8">
        <w:trPr>
          <w:trHeight w:val="413"/>
        </w:trPr>
        <w:tc>
          <w:tcPr>
            <w:tcW w:w="2849" w:type="dxa"/>
            <w:vMerge w:val="restart"/>
          </w:tcPr>
          <w:p w14:paraId="729BD657" w14:textId="77777777" w:rsidR="00E722FF" w:rsidRPr="009C566B" w:rsidRDefault="00E722FF" w:rsidP="004F5EA8">
            <w:pPr>
              <w:spacing w:after="160" w:line="240" w:lineRule="auto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Feel I might be developing dementia</w:t>
            </w:r>
          </w:p>
        </w:tc>
        <w:tc>
          <w:tcPr>
            <w:tcW w:w="1714" w:type="dxa"/>
          </w:tcPr>
          <w:p w14:paraId="5F7ACA34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Not elevated</w:t>
            </w:r>
          </w:p>
        </w:tc>
        <w:tc>
          <w:tcPr>
            <w:tcW w:w="1647" w:type="dxa"/>
          </w:tcPr>
          <w:p w14:paraId="04AC1DD0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0.23</w:t>
            </w:r>
          </w:p>
        </w:tc>
        <w:tc>
          <w:tcPr>
            <w:tcW w:w="1530" w:type="dxa"/>
          </w:tcPr>
          <w:p w14:paraId="5A005DC6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0.33</w:t>
            </w:r>
          </w:p>
        </w:tc>
      </w:tr>
      <w:tr w:rsidR="00E722FF" w:rsidRPr="009C566B" w14:paraId="717C7C0F" w14:textId="77777777" w:rsidTr="004F5EA8">
        <w:trPr>
          <w:trHeight w:val="411"/>
        </w:trPr>
        <w:tc>
          <w:tcPr>
            <w:tcW w:w="2849" w:type="dxa"/>
            <w:vMerge/>
          </w:tcPr>
          <w:p w14:paraId="1ABCF3B5" w14:textId="77777777" w:rsidR="00E722FF" w:rsidRPr="009C566B" w:rsidRDefault="00E722FF" w:rsidP="004F5EA8">
            <w:pPr>
              <w:spacing w:after="160" w:line="240" w:lineRule="auto"/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1714" w:type="dxa"/>
          </w:tcPr>
          <w:p w14:paraId="5DDE2804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Elevated</w:t>
            </w:r>
          </w:p>
        </w:tc>
        <w:tc>
          <w:tcPr>
            <w:tcW w:w="1647" w:type="dxa"/>
          </w:tcPr>
          <w:p w14:paraId="2EB20350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0.30</w:t>
            </w:r>
          </w:p>
        </w:tc>
        <w:tc>
          <w:tcPr>
            <w:tcW w:w="1530" w:type="dxa"/>
          </w:tcPr>
          <w:p w14:paraId="7E35D014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0.35</w:t>
            </w:r>
          </w:p>
        </w:tc>
      </w:tr>
      <w:tr w:rsidR="00E722FF" w:rsidRPr="009C566B" w14:paraId="266F8689" w14:textId="77777777" w:rsidTr="004F5EA8">
        <w:trPr>
          <w:trHeight w:val="98"/>
        </w:trPr>
        <w:tc>
          <w:tcPr>
            <w:tcW w:w="2849" w:type="dxa"/>
            <w:vMerge w:val="restart"/>
          </w:tcPr>
          <w:p w14:paraId="4FB041C3" w14:textId="77777777" w:rsidR="00E722FF" w:rsidRPr="009C566B" w:rsidRDefault="00E722FF" w:rsidP="004F5EA8">
            <w:pPr>
              <w:spacing w:after="160" w:line="240" w:lineRule="auto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Prepare family for possible illness</w:t>
            </w:r>
          </w:p>
        </w:tc>
        <w:tc>
          <w:tcPr>
            <w:tcW w:w="1714" w:type="dxa"/>
          </w:tcPr>
          <w:p w14:paraId="37D7A87D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Not elevated</w:t>
            </w:r>
          </w:p>
        </w:tc>
        <w:tc>
          <w:tcPr>
            <w:tcW w:w="1647" w:type="dxa"/>
          </w:tcPr>
          <w:p w14:paraId="6767844C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0.36</w:t>
            </w:r>
          </w:p>
        </w:tc>
        <w:tc>
          <w:tcPr>
            <w:tcW w:w="1530" w:type="dxa"/>
          </w:tcPr>
          <w:p w14:paraId="094B3CFE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0.45</w:t>
            </w:r>
          </w:p>
        </w:tc>
      </w:tr>
      <w:tr w:rsidR="00E722FF" w:rsidRPr="009C566B" w14:paraId="0B92E444" w14:textId="77777777" w:rsidTr="004F5EA8">
        <w:trPr>
          <w:trHeight w:val="411"/>
        </w:trPr>
        <w:tc>
          <w:tcPr>
            <w:tcW w:w="2849" w:type="dxa"/>
            <w:vMerge/>
          </w:tcPr>
          <w:p w14:paraId="1F88FA55" w14:textId="77777777" w:rsidR="00E722FF" w:rsidRPr="009C566B" w:rsidRDefault="00E722FF" w:rsidP="004F5EA8">
            <w:pPr>
              <w:spacing w:after="160" w:line="240" w:lineRule="auto"/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1714" w:type="dxa"/>
          </w:tcPr>
          <w:p w14:paraId="64F84A12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Elevated</w:t>
            </w:r>
          </w:p>
        </w:tc>
        <w:tc>
          <w:tcPr>
            <w:tcW w:w="1647" w:type="dxa"/>
          </w:tcPr>
          <w:p w14:paraId="243E8169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0.42</w:t>
            </w:r>
          </w:p>
        </w:tc>
        <w:tc>
          <w:tcPr>
            <w:tcW w:w="1530" w:type="dxa"/>
          </w:tcPr>
          <w:p w14:paraId="0CF77011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0.42</w:t>
            </w:r>
          </w:p>
        </w:tc>
      </w:tr>
      <w:tr w:rsidR="00E722FF" w:rsidRPr="009C566B" w14:paraId="4A2CBCD5" w14:textId="77777777" w:rsidTr="004F5EA8">
        <w:trPr>
          <w:trHeight w:val="152"/>
        </w:trPr>
        <w:tc>
          <w:tcPr>
            <w:tcW w:w="2849" w:type="dxa"/>
            <w:vMerge w:val="restart"/>
          </w:tcPr>
          <w:p w14:paraId="1D4BBF00" w14:textId="77777777" w:rsidR="00E722FF" w:rsidRPr="009C566B" w:rsidRDefault="00E722FF" w:rsidP="004F5EA8">
            <w:pPr>
              <w:spacing w:after="160" w:line="240" w:lineRule="auto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Curiosity</w:t>
            </w:r>
          </w:p>
        </w:tc>
        <w:tc>
          <w:tcPr>
            <w:tcW w:w="1714" w:type="dxa"/>
          </w:tcPr>
          <w:p w14:paraId="7DEB229C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Not elevated</w:t>
            </w:r>
          </w:p>
        </w:tc>
        <w:tc>
          <w:tcPr>
            <w:tcW w:w="1647" w:type="dxa"/>
          </w:tcPr>
          <w:p w14:paraId="409BC30B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0.44</w:t>
            </w:r>
          </w:p>
        </w:tc>
        <w:tc>
          <w:tcPr>
            <w:tcW w:w="1530" w:type="dxa"/>
          </w:tcPr>
          <w:p w14:paraId="329646F4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0.46</w:t>
            </w:r>
          </w:p>
        </w:tc>
      </w:tr>
      <w:tr w:rsidR="00E722FF" w:rsidRPr="009C566B" w14:paraId="7B0E4265" w14:textId="77777777" w:rsidTr="004F5EA8">
        <w:trPr>
          <w:trHeight w:val="396"/>
        </w:trPr>
        <w:tc>
          <w:tcPr>
            <w:tcW w:w="2849" w:type="dxa"/>
            <w:vMerge/>
            <w:tcBorders>
              <w:bottom w:val="single" w:sz="4" w:space="0" w:color="auto"/>
            </w:tcBorders>
          </w:tcPr>
          <w:p w14:paraId="31550814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2623B2CC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Elevated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428EF32F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0.39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11418F6" w14:textId="77777777" w:rsidR="00E722FF" w:rsidRPr="009C566B" w:rsidRDefault="00E722FF" w:rsidP="004F5EA8">
            <w:pPr>
              <w:spacing w:after="160" w:line="240" w:lineRule="auto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9C566B">
              <w:rPr>
                <w:rFonts w:ascii="Times" w:eastAsia="Times" w:hAnsi="Times" w:cs="Times"/>
                <w:sz w:val="18"/>
                <w:szCs w:val="18"/>
              </w:rPr>
              <w:t>0.47</w:t>
            </w:r>
          </w:p>
        </w:tc>
      </w:tr>
    </w:tbl>
    <w:p w14:paraId="6D162343" w14:textId="77777777" w:rsidR="00E722FF" w:rsidRPr="009C566B" w:rsidRDefault="00E722FF" w:rsidP="00E722FF">
      <w:pPr>
        <w:spacing w:after="160" w:line="240" w:lineRule="auto"/>
        <w:rPr>
          <w:rFonts w:ascii="Times" w:eastAsia="Times" w:hAnsi="Times" w:cs="Times"/>
          <w:sz w:val="18"/>
          <w:szCs w:val="18"/>
        </w:rPr>
      </w:pPr>
    </w:p>
    <w:p w14:paraId="0553AF6A" w14:textId="77777777" w:rsidR="00E722FF" w:rsidRPr="009C566B" w:rsidRDefault="00E722FF" w:rsidP="00E722FF">
      <w:pPr>
        <w:spacing w:after="160" w:line="240" w:lineRule="auto"/>
        <w:rPr>
          <w:rFonts w:ascii="Times" w:eastAsia="Times" w:hAnsi="Times" w:cs="Times"/>
          <w:sz w:val="18"/>
          <w:szCs w:val="18"/>
        </w:rPr>
      </w:pPr>
    </w:p>
    <w:p w14:paraId="767D2289" w14:textId="77777777" w:rsidR="00E722FF" w:rsidRPr="009C566B" w:rsidRDefault="00E722FF" w:rsidP="00E722FF">
      <w:pPr>
        <w:spacing w:after="160" w:line="240" w:lineRule="auto"/>
        <w:rPr>
          <w:rFonts w:ascii="Times" w:eastAsia="Times" w:hAnsi="Times" w:cs="Times"/>
          <w:sz w:val="18"/>
          <w:szCs w:val="18"/>
        </w:rPr>
      </w:pPr>
    </w:p>
    <w:p w14:paraId="39A2E857" w14:textId="77777777" w:rsidR="00E722FF" w:rsidRPr="009C566B" w:rsidRDefault="00E722FF" w:rsidP="00E722FF">
      <w:pPr>
        <w:spacing w:after="160" w:line="240" w:lineRule="auto"/>
        <w:rPr>
          <w:rFonts w:ascii="Times" w:eastAsia="Times" w:hAnsi="Times" w:cs="Times"/>
          <w:sz w:val="18"/>
          <w:szCs w:val="18"/>
        </w:rPr>
      </w:pPr>
    </w:p>
    <w:p w14:paraId="39B83423" w14:textId="77777777" w:rsidR="00E722FF" w:rsidRDefault="00E722FF" w:rsidP="00E722FF">
      <w:pPr>
        <w:spacing w:after="160" w:line="240" w:lineRule="auto"/>
        <w:rPr>
          <w:rFonts w:ascii="Times" w:eastAsia="Times" w:hAnsi="Times" w:cs="Times"/>
        </w:rPr>
      </w:pPr>
    </w:p>
    <w:p w14:paraId="6AB4F715" w14:textId="77777777" w:rsidR="00E722FF" w:rsidRDefault="00E722FF" w:rsidP="00E722FF">
      <w:pPr>
        <w:spacing w:after="160" w:line="240" w:lineRule="auto"/>
        <w:rPr>
          <w:rFonts w:ascii="Times" w:eastAsia="Times" w:hAnsi="Times" w:cs="Times"/>
        </w:rPr>
      </w:pPr>
    </w:p>
    <w:p w14:paraId="4BE2D179" w14:textId="77777777" w:rsidR="00B2266B" w:rsidRDefault="00B2266B"/>
    <w:sectPr w:rsidR="00B22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FF"/>
    <w:rsid w:val="002C333D"/>
    <w:rsid w:val="007A1349"/>
    <w:rsid w:val="00B2266B"/>
    <w:rsid w:val="00C37054"/>
    <w:rsid w:val="00C77F11"/>
    <w:rsid w:val="00D634FA"/>
    <w:rsid w:val="00E7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243C"/>
  <w15:chartTrackingRefBased/>
  <w15:docId w15:val="{76063298-05CD-4A7F-9C6D-D6257053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2FF"/>
    <w:pPr>
      <w:spacing w:after="0" w:line="276" w:lineRule="auto"/>
    </w:pPr>
    <w:rPr>
      <w:rFonts w:ascii="Arial" w:eastAsia="Arial" w:hAnsi="Arial" w:cs="Arial"/>
      <w:kern w:val="0"/>
      <w:lang w:val="en" w:eastAsia="ja-JP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722F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22F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22F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22F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22F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22F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22F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22F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22F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22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722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722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722FF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722FF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72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72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72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72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72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72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22F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72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722F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E72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722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E722FF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22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22FF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E722FF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722FF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Ritchie</dc:creator>
  <cp:keywords/>
  <dc:description/>
  <cp:lastModifiedBy>Virginie Cassigneul</cp:lastModifiedBy>
  <cp:revision>2</cp:revision>
  <dcterms:created xsi:type="dcterms:W3CDTF">2024-07-29T03:52:00Z</dcterms:created>
  <dcterms:modified xsi:type="dcterms:W3CDTF">2024-07-29T03:52:00Z</dcterms:modified>
</cp:coreProperties>
</file>