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F59C" w14:textId="367AE5D2" w:rsidR="00D44EA8" w:rsidRPr="00017C34" w:rsidRDefault="00D44EA8" w:rsidP="000F0996">
      <w:pPr>
        <w:pStyle w:val="1"/>
        <w:spacing w:line="360" w:lineRule="auto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0" w:name="_Hlk165295020"/>
      <w:r w:rsidRPr="00017C34">
        <w:rPr>
          <w:rFonts w:ascii="Times New Roman" w:hAnsi="Times New Roman" w:cs="Times New Roman"/>
          <w:sz w:val="21"/>
          <w:szCs w:val="21"/>
        </w:rPr>
        <w:t xml:space="preserve">Supplementary Table 1 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Levels of CSF Proteins </w:t>
      </w:r>
      <w:r w:rsidR="00B12ADA">
        <w:rPr>
          <w:rFonts w:ascii="Times New Roman" w:hAnsi="Times New Roman" w:cs="Times New Roman" w:hint="eastAsia"/>
          <w:b w:val="0"/>
          <w:bCs w:val="0"/>
          <w:sz w:val="21"/>
          <w:szCs w:val="21"/>
        </w:rPr>
        <w:t>B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>etween Aβ-PET Negative and Positive Groups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774"/>
        <w:gridCol w:w="1774"/>
        <w:gridCol w:w="807"/>
      </w:tblGrid>
      <w:tr w:rsidR="00853085" w:rsidRPr="00D71022" w14:paraId="2CF105E2" w14:textId="4AA5C9C1" w:rsidTr="002471C2">
        <w:trPr>
          <w:trHeight w:val="30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2E74B11" w14:textId="77777777" w:rsidR="00853085" w:rsidRPr="00D71022" w:rsidRDefault="00853085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FDD03E2" w14:textId="17079BBB" w:rsidR="00D44EA8" w:rsidRPr="00D71022" w:rsidRDefault="00853085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  <w:p w14:paraId="1E3792D0" w14:textId="53027205" w:rsidR="00853085" w:rsidRPr="00D71022" w:rsidRDefault="00853085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253)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33AB174" w14:textId="7B982CF2" w:rsidR="00D44EA8" w:rsidRPr="00D71022" w:rsidRDefault="00853085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Aβ-PET </w:t>
            </w:r>
            <w:bookmarkStart w:id="1" w:name="_Hlk165294970"/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>Positive</w:t>
            </w:r>
            <w:bookmarkEnd w:id="1"/>
          </w:p>
          <w:p w14:paraId="5507F28E" w14:textId="7CEAB550" w:rsidR="00853085" w:rsidRPr="00D71022" w:rsidRDefault="00853085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221)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39CF86" w14:textId="4CF4A009" w:rsidR="00853085" w:rsidRPr="00D71022" w:rsidRDefault="00853085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bookmarkEnd w:id="0"/>
      <w:tr w:rsidR="00ED22D6" w:rsidRPr="00D71022" w14:paraId="3E593C61" w14:textId="25DB1C6D" w:rsidTr="002471C2">
        <w:trPr>
          <w:trHeight w:val="290"/>
        </w:trPr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357B6FD7" w14:textId="1F31C29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Aβ42,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pg/ml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5B7E628C" w14:textId="216F206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1538.36 (559.76)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A976DB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838.40 (389.63)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E45C8" w14:textId="6020C3A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34518A70" w14:textId="2727EEBD" w:rsidTr="002471C2">
        <w:trPr>
          <w:trHeight w:val="290"/>
        </w:trPr>
        <w:tc>
          <w:tcPr>
            <w:tcW w:w="0" w:type="auto"/>
            <w:noWrap/>
            <w:hideMark/>
          </w:tcPr>
          <w:p w14:paraId="006E3DD8" w14:textId="2F585A86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Tau,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pg/ml</w:t>
            </w:r>
          </w:p>
        </w:tc>
        <w:tc>
          <w:tcPr>
            <w:tcW w:w="0" w:type="auto"/>
            <w:noWrap/>
            <w:hideMark/>
          </w:tcPr>
          <w:p w14:paraId="20472A76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209.50 (71.76)</w:t>
            </w:r>
          </w:p>
        </w:tc>
        <w:tc>
          <w:tcPr>
            <w:tcW w:w="0" w:type="auto"/>
            <w:noWrap/>
            <w:hideMark/>
          </w:tcPr>
          <w:p w14:paraId="6534C409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322.66 (134.82)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E7D69" w14:textId="63FE29E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1FA89324" w14:textId="5B1DFA30" w:rsidTr="002471C2">
        <w:trPr>
          <w:trHeight w:val="290"/>
        </w:trPr>
        <w:tc>
          <w:tcPr>
            <w:tcW w:w="0" w:type="auto"/>
            <w:noWrap/>
            <w:hideMark/>
          </w:tcPr>
          <w:p w14:paraId="3738C1E8" w14:textId="6B959042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pTau,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pg/ml</w:t>
            </w:r>
          </w:p>
        </w:tc>
        <w:tc>
          <w:tcPr>
            <w:tcW w:w="0" w:type="auto"/>
            <w:noWrap/>
            <w:hideMark/>
          </w:tcPr>
          <w:p w14:paraId="1773A53E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18.44 (6.54)</w:t>
            </w:r>
          </w:p>
        </w:tc>
        <w:tc>
          <w:tcPr>
            <w:tcW w:w="0" w:type="auto"/>
            <w:noWrap/>
            <w:hideMark/>
          </w:tcPr>
          <w:p w14:paraId="4A970BB2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32.00 (15.01)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3E37F" w14:textId="2899FC5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0599512D" w14:textId="1E0B53BC" w:rsidTr="002471C2">
        <w:trPr>
          <w:trHeight w:val="290"/>
        </w:trPr>
        <w:tc>
          <w:tcPr>
            <w:tcW w:w="0" w:type="auto"/>
            <w:noWrap/>
            <w:hideMark/>
          </w:tcPr>
          <w:p w14:paraId="2121A000" w14:textId="63CC1C0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Aβ40,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pg/ml</w:t>
            </w:r>
          </w:p>
        </w:tc>
        <w:tc>
          <w:tcPr>
            <w:tcW w:w="0" w:type="auto"/>
            <w:noWrap/>
            <w:hideMark/>
          </w:tcPr>
          <w:p w14:paraId="2203E443" w14:textId="4952DAB1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8396.80 (2399.38)</w:t>
            </w:r>
          </w:p>
        </w:tc>
        <w:tc>
          <w:tcPr>
            <w:tcW w:w="0" w:type="auto"/>
            <w:noWrap/>
            <w:hideMark/>
          </w:tcPr>
          <w:p w14:paraId="0A58A407" w14:textId="22704D51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8693.42 (2450.20)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098C" w14:textId="3671D69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0.47</w:t>
            </w:r>
          </w:p>
        </w:tc>
      </w:tr>
      <w:tr w:rsidR="00ED22D6" w:rsidRPr="00D71022" w14:paraId="628FF1C2" w14:textId="6AB306D0" w:rsidTr="002471C2">
        <w:trPr>
          <w:trHeight w:val="290"/>
        </w:trPr>
        <w:tc>
          <w:tcPr>
            <w:tcW w:w="0" w:type="auto"/>
            <w:noWrap/>
            <w:hideMark/>
          </w:tcPr>
          <w:p w14:paraId="65CBDA67" w14:textId="285D041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Aβ38,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pg/ml</w:t>
            </w:r>
          </w:p>
        </w:tc>
        <w:tc>
          <w:tcPr>
            <w:tcW w:w="0" w:type="auto"/>
            <w:noWrap/>
            <w:hideMark/>
          </w:tcPr>
          <w:p w14:paraId="58867DF4" w14:textId="0A9C8FF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1925.19 (556.68)</w:t>
            </w:r>
          </w:p>
        </w:tc>
        <w:tc>
          <w:tcPr>
            <w:tcW w:w="0" w:type="auto"/>
            <w:noWrap/>
            <w:hideMark/>
          </w:tcPr>
          <w:p w14:paraId="3A9ADFFE" w14:textId="65A913F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2001.82 (583.28)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95A49" w14:textId="7C528FD5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0.35</w:t>
            </w:r>
          </w:p>
        </w:tc>
      </w:tr>
      <w:tr w:rsidR="00D44EA8" w:rsidRPr="00D71022" w14:paraId="6A9F0675" w14:textId="77777777" w:rsidTr="002471C2">
        <w:trPr>
          <w:trHeight w:val="29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68D5CCE2" w14:textId="13732A12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TREM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, Mean(SD) , pg/ml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6D21F13C" w14:textId="334BE480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3552.09 (1797.89)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4A3083A8" w14:textId="62AB6E08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4178.81 (2257.17)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9D6C" w14:textId="77777777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0.008</w:t>
            </w:r>
          </w:p>
        </w:tc>
      </w:tr>
      <w:tr w:rsidR="00D44EA8" w:rsidRPr="00D71022" w14:paraId="0671F608" w14:textId="77777777" w:rsidTr="002471C2">
        <w:trPr>
          <w:trHeight w:val="290"/>
        </w:trPr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71C7A89E" w14:textId="4421B919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PGRN, Mean(SD) , pg/ml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139CA7BE" w14:textId="0189E050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1549.32 (359.39)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7BDBDEB0" w14:textId="234D2C5B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1571.09 (396.91)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B0EC2" w14:textId="77777777" w:rsidR="00D44EA8" w:rsidRPr="00D71022" w:rsidRDefault="00D44EA8" w:rsidP="00802E8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0.34</w:t>
            </w:r>
          </w:p>
        </w:tc>
      </w:tr>
      <w:tr w:rsidR="00ED22D6" w:rsidRPr="00D71022" w14:paraId="054FB741" w14:textId="74A9A4F8" w:rsidTr="002471C2">
        <w:trPr>
          <w:trHeight w:val="290"/>
        </w:trPr>
        <w:tc>
          <w:tcPr>
            <w:tcW w:w="0" w:type="auto"/>
            <w:tcBorders>
              <w:top w:val="nil"/>
            </w:tcBorders>
            <w:noWrap/>
            <w:hideMark/>
          </w:tcPr>
          <w:p w14:paraId="473A7B30" w14:textId="5CF0322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ALB,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2994C6DE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55.81 (21.48)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4B9DF1BD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57.83 (26.93)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AA113" w14:textId="484241E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0.41</w:t>
            </w:r>
          </w:p>
        </w:tc>
      </w:tr>
      <w:tr w:rsidR="00ED22D6" w:rsidRPr="00D71022" w14:paraId="33340321" w14:textId="1D722DCC" w:rsidTr="002471C2">
        <w:trPr>
          <w:trHeight w:val="290"/>
        </w:trPr>
        <w:tc>
          <w:tcPr>
            <w:tcW w:w="0" w:type="auto"/>
            <w:noWrap/>
            <w:hideMark/>
          </w:tcPr>
          <w:p w14:paraId="5E35F90D" w14:textId="66E99F0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ALDOA,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57A049A7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(0.005)</w:t>
            </w:r>
          </w:p>
        </w:tc>
        <w:tc>
          <w:tcPr>
            <w:tcW w:w="0" w:type="auto"/>
            <w:noWrap/>
            <w:hideMark/>
          </w:tcPr>
          <w:p w14:paraId="3B367505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A10F" w14:textId="30E7666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2C525FDD" w14:textId="63568DE5" w:rsidTr="002471C2">
        <w:trPr>
          <w:trHeight w:val="290"/>
        </w:trPr>
        <w:tc>
          <w:tcPr>
            <w:tcW w:w="0" w:type="auto"/>
            <w:noWrap/>
            <w:hideMark/>
          </w:tcPr>
          <w:p w14:paraId="6D68D94F" w14:textId="2B86E73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APOA4,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6A65A11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 (0.03)</w:t>
            </w:r>
          </w:p>
        </w:tc>
        <w:tc>
          <w:tcPr>
            <w:tcW w:w="0" w:type="auto"/>
            <w:noWrap/>
            <w:hideMark/>
          </w:tcPr>
          <w:p w14:paraId="57E2A149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 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750B" w14:textId="38515B2F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0.25</w:t>
            </w:r>
          </w:p>
        </w:tc>
      </w:tr>
      <w:tr w:rsidR="00ED22D6" w:rsidRPr="00D71022" w14:paraId="1B29AE79" w14:textId="162CDB39" w:rsidTr="002471C2">
        <w:trPr>
          <w:trHeight w:val="290"/>
        </w:trPr>
        <w:tc>
          <w:tcPr>
            <w:tcW w:w="0" w:type="auto"/>
            <w:noWrap/>
            <w:hideMark/>
          </w:tcPr>
          <w:p w14:paraId="6F345BCD" w14:textId="71605B9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APOC1,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46B2C25B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2.07 (0.87)</w:t>
            </w:r>
          </w:p>
        </w:tc>
        <w:tc>
          <w:tcPr>
            <w:tcW w:w="0" w:type="auto"/>
            <w:noWrap/>
            <w:hideMark/>
          </w:tcPr>
          <w:p w14:paraId="52D6F2B3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2.19 (1.21)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E456" w14:textId="2423F005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0.10</w:t>
            </w:r>
          </w:p>
        </w:tc>
      </w:tr>
      <w:tr w:rsidR="00ED22D6" w:rsidRPr="00D71022" w14:paraId="4BA4CD40" w14:textId="085E8DCA" w:rsidTr="002471C2">
        <w:trPr>
          <w:trHeight w:val="290"/>
        </w:trPr>
        <w:tc>
          <w:tcPr>
            <w:tcW w:w="0" w:type="auto"/>
            <w:noWrap/>
            <w:hideMark/>
          </w:tcPr>
          <w:p w14:paraId="29170B96" w14:textId="18A6249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APOC2,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742432B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0.008 (0.005)</w:t>
            </w:r>
          </w:p>
        </w:tc>
        <w:tc>
          <w:tcPr>
            <w:tcW w:w="0" w:type="auto"/>
            <w:noWrap/>
            <w:hideMark/>
          </w:tcPr>
          <w:p w14:paraId="2BBB4DCF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0.008 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29FE" w14:textId="11BBB06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0.07</w:t>
            </w:r>
          </w:p>
        </w:tc>
      </w:tr>
      <w:tr w:rsidR="00ED22D6" w:rsidRPr="00D71022" w14:paraId="709B8FB9" w14:textId="6CC1C42C" w:rsidTr="002471C2">
        <w:trPr>
          <w:trHeight w:val="290"/>
        </w:trPr>
        <w:tc>
          <w:tcPr>
            <w:tcW w:w="0" w:type="auto"/>
            <w:noWrap/>
            <w:hideMark/>
          </w:tcPr>
          <w:p w14:paraId="0C62DBEE" w14:textId="381A9558" w:rsidR="00ED22D6" w:rsidRPr="00D71022" w:rsidRDefault="00D71022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ED22D6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="00ED22D6"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479BFE78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1.97 (3.93)</w:t>
            </w:r>
          </w:p>
        </w:tc>
        <w:tc>
          <w:tcPr>
            <w:tcW w:w="0" w:type="auto"/>
            <w:noWrap/>
            <w:hideMark/>
          </w:tcPr>
          <w:p w14:paraId="467E2699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5.90 (5.60)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B016" w14:textId="686B4F4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</w:t>
            </w:r>
          </w:p>
        </w:tc>
      </w:tr>
      <w:tr w:rsidR="00ED22D6" w:rsidRPr="00D71022" w14:paraId="10C4A3C3" w14:textId="03632F9C" w:rsidTr="002471C2">
        <w:trPr>
          <w:trHeight w:val="290"/>
        </w:trPr>
        <w:tc>
          <w:tcPr>
            <w:tcW w:w="0" w:type="auto"/>
            <w:noWrap/>
            <w:hideMark/>
          </w:tcPr>
          <w:p w14:paraId="1AE5ABBD" w14:textId="4106D4D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C9,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77FA2B21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(0.006)</w:t>
            </w:r>
          </w:p>
        </w:tc>
        <w:tc>
          <w:tcPr>
            <w:tcW w:w="0" w:type="auto"/>
            <w:noWrap/>
            <w:hideMark/>
          </w:tcPr>
          <w:p w14:paraId="5355770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3191" w14:textId="77CD84A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0.045</w:t>
            </w:r>
          </w:p>
        </w:tc>
      </w:tr>
      <w:tr w:rsidR="00ED22D6" w:rsidRPr="00D71022" w14:paraId="5459D3C2" w14:textId="47483C80" w:rsidTr="002471C2">
        <w:trPr>
          <w:trHeight w:val="290"/>
        </w:trPr>
        <w:tc>
          <w:tcPr>
            <w:tcW w:w="0" w:type="auto"/>
            <w:noWrap/>
            <w:hideMark/>
          </w:tcPr>
          <w:p w14:paraId="62CB1D3F" w14:textId="3E212E5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CALM2,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252DD693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(0.008)</w:t>
            </w:r>
          </w:p>
        </w:tc>
        <w:tc>
          <w:tcPr>
            <w:tcW w:w="0" w:type="auto"/>
            <w:noWrap/>
            <w:hideMark/>
          </w:tcPr>
          <w:p w14:paraId="6A8D9353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0.03 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5D683" w14:textId="2265D78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060A5B48" w14:textId="47433B87" w:rsidTr="002471C2">
        <w:trPr>
          <w:trHeight w:val="290"/>
        </w:trPr>
        <w:tc>
          <w:tcPr>
            <w:tcW w:w="0" w:type="auto"/>
            <w:noWrap/>
            <w:hideMark/>
          </w:tcPr>
          <w:p w14:paraId="151D95F1" w14:textId="19FB12A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CD44,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2B0DF793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(0.004)</w:t>
            </w:r>
          </w:p>
        </w:tc>
        <w:tc>
          <w:tcPr>
            <w:tcW w:w="0" w:type="auto"/>
            <w:noWrap/>
            <w:hideMark/>
          </w:tcPr>
          <w:p w14:paraId="51DF7EA5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7F02" w14:textId="380B059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</w:tr>
      <w:tr w:rsidR="00ED22D6" w:rsidRPr="00D71022" w14:paraId="1A77E65D" w14:textId="79C86F2D" w:rsidTr="002471C2">
        <w:trPr>
          <w:trHeight w:val="290"/>
        </w:trPr>
        <w:tc>
          <w:tcPr>
            <w:tcW w:w="0" w:type="auto"/>
            <w:noWrap/>
            <w:hideMark/>
          </w:tcPr>
          <w:p w14:paraId="565C9CBE" w14:textId="500744B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CHI3L1,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39F5F8B8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0.37 (0.12)</w:t>
            </w:r>
          </w:p>
        </w:tc>
        <w:tc>
          <w:tcPr>
            <w:tcW w:w="0" w:type="auto"/>
            <w:noWrap/>
            <w:hideMark/>
          </w:tcPr>
          <w:p w14:paraId="2C53809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0.44 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1081" w14:textId="19E1D1F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4C17EF29" w14:textId="48ABE1C8" w:rsidTr="002471C2">
        <w:trPr>
          <w:trHeight w:val="290"/>
        </w:trPr>
        <w:tc>
          <w:tcPr>
            <w:tcW w:w="0" w:type="auto"/>
            <w:noWrap/>
            <w:hideMark/>
          </w:tcPr>
          <w:p w14:paraId="04CD2D4B" w14:textId="41E5101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CP,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4E4F4FDE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0.07 (0.02)</w:t>
            </w:r>
          </w:p>
        </w:tc>
        <w:tc>
          <w:tcPr>
            <w:tcW w:w="0" w:type="auto"/>
            <w:noWrap/>
            <w:hideMark/>
          </w:tcPr>
          <w:p w14:paraId="53B7C546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0.07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182FC" w14:textId="073FAF7F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0.11</w:t>
            </w:r>
          </w:p>
        </w:tc>
      </w:tr>
      <w:tr w:rsidR="00ED22D6" w:rsidRPr="00D71022" w14:paraId="633A17FA" w14:textId="260AC268" w:rsidTr="002471C2">
        <w:trPr>
          <w:trHeight w:val="290"/>
        </w:trPr>
        <w:tc>
          <w:tcPr>
            <w:tcW w:w="0" w:type="auto"/>
            <w:noWrap/>
            <w:hideMark/>
          </w:tcPr>
          <w:p w14:paraId="4D3EE4D7" w14:textId="0BA6AE0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DDAH1,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00DDE9FF" w14:textId="3F409A82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0.001 (0.00</w:t>
            </w:r>
            <w:r w:rsidR="00792BB1" w:rsidRPr="00D71022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C667F9A" w14:textId="6C3AE3E1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0.001 (0.00</w:t>
            </w:r>
            <w:r w:rsidR="00792BB1" w:rsidRPr="00D71022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0E6DA" w14:textId="313C3D4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0.006</w:t>
            </w:r>
          </w:p>
        </w:tc>
      </w:tr>
      <w:tr w:rsidR="00ED22D6" w:rsidRPr="00D71022" w14:paraId="4A099451" w14:textId="3A34EF38" w:rsidTr="002471C2">
        <w:trPr>
          <w:trHeight w:val="290"/>
        </w:trPr>
        <w:tc>
          <w:tcPr>
            <w:tcW w:w="0" w:type="auto"/>
            <w:noWrap/>
            <w:hideMark/>
          </w:tcPr>
          <w:p w14:paraId="46B6BFBD" w14:textId="146FF9F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DKK3,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6BE6A168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0.22 (0.07)</w:t>
            </w:r>
          </w:p>
        </w:tc>
        <w:tc>
          <w:tcPr>
            <w:tcW w:w="0" w:type="auto"/>
            <w:noWrap/>
            <w:hideMark/>
          </w:tcPr>
          <w:p w14:paraId="09CAF44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0.24 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A0FC3" w14:textId="21E69F2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0.05</w:t>
            </w:r>
            <w:r w:rsidR="00B12AD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ED22D6" w:rsidRPr="00D71022" w14:paraId="067227E8" w14:textId="31CB6C34" w:rsidTr="002471C2">
        <w:trPr>
          <w:trHeight w:val="290"/>
        </w:trPr>
        <w:tc>
          <w:tcPr>
            <w:tcW w:w="0" w:type="auto"/>
            <w:noWrap/>
            <w:hideMark/>
          </w:tcPr>
          <w:p w14:paraId="6C8BC96E" w14:textId="26D48ED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ENO1,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49BB7147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(0.001)</w:t>
            </w:r>
          </w:p>
        </w:tc>
        <w:tc>
          <w:tcPr>
            <w:tcW w:w="0" w:type="auto"/>
            <w:noWrap/>
            <w:hideMark/>
          </w:tcPr>
          <w:p w14:paraId="36F5956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2E1DA" w14:textId="3AD1A26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0.002</w:t>
            </w:r>
          </w:p>
        </w:tc>
      </w:tr>
      <w:tr w:rsidR="00ED22D6" w:rsidRPr="00D71022" w14:paraId="261DE796" w14:textId="5D9F55AA" w:rsidTr="002471C2">
        <w:trPr>
          <w:trHeight w:val="290"/>
        </w:trPr>
        <w:tc>
          <w:tcPr>
            <w:tcW w:w="0" w:type="auto"/>
            <w:noWrap/>
            <w:hideMark/>
          </w:tcPr>
          <w:p w14:paraId="64719053" w14:textId="43794E8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F2,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73BA9DF6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(0.005)</w:t>
            </w:r>
          </w:p>
        </w:tc>
        <w:tc>
          <w:tcPr>
            <w:tcW w:w="0" w:type="auto"/>
            <w:noWrap/>
            <w:hideMark/>
          </w:tcPr>
          <w:p w14:paraId="594AD017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430F" w14:textId="17500DFB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0.19</w:t>
            </w:r>
          </w:p>
        </w:tc>
      </w:tr>
      <w:tr w:rsidR="00ED22D6" w:rsidRPr="00D71022" w14:paraId="010D119C" w14:textId="39676A4B" w:rsidTr="002471C2">
        <w:trPr>
          <w:trHeight w:val="290"/>
        </w:trPr>
        <w:tc>
          <w:tcPr>
            <w:tcW w:w="0" w:type="auto"/>
            <w:noWrap/>
            <w:hideMark/>
          </w:tcPr>
          <w:p w14:paraId="644A282D" w14:textId="1FC5C11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GAPDH,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0BF4398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0.004 (0.003)</w:t>
            </w:r>
          </w:p>
        </w:tc>
        <w:tc>
          <w:tcPr>
            <w:tcW w:w="0" w:type="auto"/>
            <w:noWrap/>
            <w:hideMark/>
          </w:tcPr>
          <w:p w14:paraId="334F3766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0.004 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A2E6" w14:textId="7535116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0.73</w:t>
            </w:r>
          </w:p>
        </w:tc>
      </w:tr>
      <w:tr w:rsidR="00ED22D6" w:rsidRPr="00D71022" w14:paraId="2CE46D2C" w14:textId="092741BA" w:rsidTr="002471C2">
        <w:trPr>
          <w:trHeight w:val="290"/>
        </w:trPr>
        <w:tc>
          <w:tcPr>
            <w:tcW w:w="0" w:type="auto"/>
            <w:noWrap/>
            <w:hideMark/>
          </w:tcPr>
          <w:p w14:paraId="6D694112" w14:textId="008D96D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GDA,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79F2409B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0.003 (0.001)</w:t>
            </w:r>
          </w:p>
        </w:tc>
        <w:tc>
          <w:tcPr>
            <w:tcW w:w="0" w:type="auto"/>
            <w:noWrap/>
            <w:hideMark/>
          </w:tcPr>
          <w:p w14:paraId="5DA5636E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0.004 (0.001)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2CD3" w14:textId="0FE87CC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0928EC79" w14:textId="27F17398" w:rsidTr="002471C2">
        <w:trPr>
          <w:trHeight w:val="290"/>
        </w:trPr>
        <w:tc>
          <w:tcPr>
            <w:tcW w:w="0" w:type="auto"/>
            <w:noWrap/>
            <w:hideMark/>
          </w:tcPr>
          <w:p w14:paraId="523CEE46" w14:textId="52E0061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GMFB,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068DE39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0.003 (0.001)</w:t>
            </w:r>
          </w:p>
        </w:tc>
        <w:tc>
          <w:tcPr>
            <w:tcW w:w="0" w:type="auto"/>
            <w:noWrap/>
            <w:hideMark/>
          </w:tcPr>
          <w:p w14:paraId="0C613B3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0.003 (0.001)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C58FF" w14:textId="6506826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</w:tr>
      <w:tr w:rsidR="00ED22D6" w:rsidRPr="00D71022" w14:paraId="6D74E902" w14:textId="2A1F131E" w:rsidTr="002471C2">
        <w:trPr>
          <w:trHeight w:val="290"/>
        </w:trPr>
        <w:tc>
          <w:tcPr>
            <w:tcW w:w="0" w:type="auto"/>
            <w:noWrap/>
            <w:hideMark/>
          </w:tcPr>
          <w:p w14:paraId="02048260" w14:textId="7755F68B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GOT1,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020A5AFF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0.006 (0.002)</w:t>
            </w:r>
          </w:p>
        </w:tc>
        <w:tc>
          <w:tcPr>
            <w:tcW w:w="0" w:type="auto"/>
            <w:noWrap/>
            <w:hideMark/>
          </w:tcPr>
          <w:p w14:paraId="62518C01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0.007 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D2FB5" w14:textId="45C498A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7482EACA" w14:textId="318BE302" w:rsidTr="002471C2">
        <w:trPr>
          <w:trHeight w:val="290"/>
        </w:trPr>
        <w:tc>
          <w:tcPr>
            <w:tcW w:w="0" w:type="auto"/>
            <w:noWrap/>
            <w:hideMark/>
          </w:tcPr>
          <w:p w14:paraId="391BE471" w14:textId="3103F28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GSN,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7E17A07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0.14 (0.04)</w:t>
            </w:r>
          </w:p>
        </w:tc>
        <w:tc>
          <w:tcPr>
            <w:tcW w:w="0" w:type="auto"/>
            <w:noWrap/>
            <w:hideMark/>
          </w:tcPr>
          <w:p w14:paraId="6B74A24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0.15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9CAA" w14:textId="22214192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</w:t>
            </w:r>
          </w:p>
        </w:tc>
      </w:tr>
      <w:tr w:rsidR="00ED22D6" w:rsidRPr="00D71022" w14:paraId="70C70AC1" w14:textId="6CD716E6" w:rsidTr="002471C2">
        <w:trPr>
          <w:trHeight w:val="290"/>
        </w:trPr>
        <w:tc>
          <w:tcPr>
            <w:tcW w:w="0" w:type="auto"/>
            <w:noWrap/>
            <w:hideMark/>
          </w:tcPr>
          <w:p w14:paraId="5D76359A" w14:textId="7F7C732B" w:rsidR="00ED22D6" w:rsidRPr="00D71022" w:rsidRDefault="004E3192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HBA</w:t>
            </w:r>
            <w:r w:rsidR="00ED22D6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="00ED22D6"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1AF33648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1.64 (8.94)</w:t>
            </w:r>
          </w:p>
        </w:tc>
        <w:tc>
          <w:tcPr>
            <w:tcW w:w="0" w:type="auto"/>
            <w:noWrap/>
            <w:hideMark/>
          </w:tcPr>
          <w:p w14:paraId="7F7619C1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0.58 (3.01)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65A09" w14:textId="401A55F1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0.05</w:t>
            </w:r>
            <w:r w:rsidR="00B12ADA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ED22D6" w:rsidRPr="00D71022" w14:paraId="63B0B369" w14:textId="2D08D513" w:rsidTr="002471C2">
        <w:trPr>
          <w:trHeight w:val="290"/>
        </w:trPr>
        <w:tc>
          <w:tcPr>
            <w:tcW w:w="0" w:type="auto"/>
            <w:noWrap/>
            <w:hideMark/>
          </w:tcPr>
          <w:p w14:paraId="1EF481E1" w14:textId="645B2D0F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HBB,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252760A5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2.25 (11.85)</w:t>
            </w:r>
          </w:p>
        </w:tc>
        <w:tc>
          <w:tcPr>
            <w:tcW w:w="0" w:type="auto"/>
            <w:noWrap/>
            <w:hideMark/>
          </w:tcPr>
          <w:p w14:paraId="72B34D7D" w14:textId="3D708E5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0.86 (4.80)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31085" w14:textId="72A17106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 w:rsidR="00ED22D6" w:rsidRPr="00D71022" w14:paraId="4FA1C83F" w14:textId="0FFD9742" w:rsidTr="002471C2">
        <w:trPr>
          <w:trHeight w:val="290"/>
        </w:trPr>
        <w:tc>
          <w:tcPr>
            <w:tcW w:w="0" w:type="auto"/>
            <w:noWrap/>
            <w:hideMark/>
          </w:tcPr>
          <w:p w14:paraId="0CDFBEDB" w14:textId="18DC7CC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KNG1,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7EA986C3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0.64 (0.28)</w:t>
            </w:r>
          </w:p>
        </w:tc>
        <w:tc>
          <w:tcPr>
            <w:tcW w:w="0" w:type="auto"/>
            <w:noWrap/>
            <w:hideMark/>
          </w:tcPr>
          <w:p w14:paraId="48A3D15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0.64 (0.37)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089C2" w14:textId="3679F555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0.59</w:t>
            </w:r>
          </w:p>
        </w:tc>
      </w:tr>
      <w:tr w:rsidR="00ED22D6" w:rsidRPr="00D71022" w14:paraId="5207FAD7" w14:textId="3FD19598" w:rsidTr="000F0996">
        <w:trPr>
          <w:trHeight w:val="29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0C8BFF18" w14:textId="5DABC07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LDHB,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71C5E5E7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(0.002)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5011B2DF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0.006 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B1F2" w14:textId="7FC584FB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</w:tr>
      <w:tr w:rsidR="00ED22D6" w:rsidRPr="00D71022" w14:paraId="26AE9FB7" w14:textId="400B86ED" w:rsidTr="000F0996">
        <w:trPr>
          <w:trHeight w:val="290"/>
        </w:trPr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172EDE2E" w14:textId="2102D3A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LDHC,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7C0E368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(0.004)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484F564D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0F29" w14:textId="578B9FD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0.11</w:t>
            </w:r>
          </w:p>
        </w:tc>
      </w:tr>
      <w:tr w:rsidR="00ED22D6" w:rsidRPr="00D71022" w14:paraId="60698B2D" w14:textId="6F06624C" w:rsidTr="000F0996">
        <w:trPr>
          <w:trHeight w:val="290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noWrap/>
            <w:hideMark/>
          </w:tcPr>
          <w:p w14:paraId="1431FDDC" w14:textId="047F237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MDH1,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noWrap/>
            <w:hideMark/>
          </w:tcPr>
          <w:p w14:paraId="5CE4943F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(0.005)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noWrap/>
            <w:hideMark/>
          </w:tcPr>
          <w:p w14:paraId="48181EF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F5E59C" w14:textId="22801BA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</w:tbl>
    <w:p w14:paraId="6AF1DDFA" w14:textId="2EB73651" w:rsidR="000F0996" w:rsidRPr="000F0996" w:rsidRDefault="000F0996">
      <w:pPr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b/>
          <w:bCs/>
          <w:sz w:val="21"/>
          <w:szCs w:val="21"/>
        </w:rPr>
        <w:lastRenderedPageBreak/>
        <w:t>Supplementary Table 1</w:t>
      </w:r>
      <w:r w:rsidRPr="00D71022">
        <w:rPr>
          <w:rFonts w:ascii="Times New Roman" w:hAnsi="Times New Roman" w:cs="Times New Roman"/>
          <w:sz w:val="21"/>
          <w:szCs w:val="21"/>
        </w:rPr>
        <w:t xml:space="preserve"> Levels of CSF Proteins </w:t>
      </w:r>
      <w:r w:rsidR="00703F71">
        <w:rPr>
          <w:rFonts w:ascii="Times New Roman" w:hAnsi="Times New Roman" w:cs="Times New Roman" w:hint="eastAsia"/>
          <w:sz w:val="21"/>
          <w:szCs w:val="21"/>
        </w:rPr>
        <w:t>B</w:t>
      </w:r>
      <w:r w:rsidRPr="00D71022">
        <w:rPr>
          <w:rFonts w:ascii="Times New Roman" w:hAnsi="Times New Roman" w:cs="Times New Roman"/>
          <w:sz w:val="21"/>
          <w:szCs w:val="21"/>
        </w:rPr>
        <w:t>etween Aβ-PET Negative and Positive Groups (Continued)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1729"/>
        <w:gridCol w:w="1648"/>
        <w:gridCol w:w="807"/>
      </w:tblGrid>
      <w:tr w:rsidR="000F0996" w:rsidRPr="00D71022" w14:paraId="2FDA249C" w14:textId="77777777" w:rsidTr="006862BB">
        <w:trPr>
          <w:trHeight w:val="29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912E508" w14:textId="3194798F" w:rsidR="000F0996" w:rsidRPr="00D71022" w:rsidRDefault="000F0996" w:rsidP="000F099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6AF7AAD" w14:textId="77777777" w:rsidR="000F0996" w:rsidRPr="00D71022" w:rsidRDefault="000F0996" w:rsidP="000F099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  <w:p w14:paraId="24E93309" w14:textId="6501FE29" w:rsidR="000F0996" w:rsidRPr="00D71022" w:rsidRDefault="000F0996" w:rsidP="000F099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253)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8805765" w14:textId="77777777" w:rsidR="000F0996" w:rsidRPr="00D71022" w:rsidRDefault="000F0996" w:rsidP="000F099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  <w:p w14:paraId="21579805" w14:textId="0EA571C5" w:rsidR="000F0996" w:rsidRPr="00D71022" w:rsidRDefault="000F0996" w:rsidP="000F099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221)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6FB0B0" w14:textId="328F75C3" w:rsidR="000F0996" w:rsidRPr="00D71022" w:rsidRDefault="000F0996" w:rsidP="000F099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ED22D6" w:rsidRPr="00D71022" w14:paraId="618CE5E5" w14:textId="0E767003" w:rsidTr="000F0996">
        <w:trPr>
          <w:trHeight w:val="290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noWrap/>
            <w:hideMark/>
          </w:tcPr>
          <w:p w14:paraId="4C0D3130" w14:textId="1C7F2AC6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NCAM1,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noWrap/>
            <w:hideMark/>
          </w:tcPr>
          <w:p w14:paraId="3124D13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0.06 (0.02)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noWrap/>
            <w:hideMark/>
          </w:tcPr>
          <w:p w14:paraId="6C7BB99E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0.07 (0.02)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3CA80" w14:textId="27B29F81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</w:tr>
      <w:tr w:rsidR="00ED22D6" w:rsidRPr="00D71022" w14:paraId="2ABC58AE" w14:textId="3C6C7F2B" w:rsidTr="00017C34">
        <w:trPr>
          <w:trHeight w:val="290"/>
        </w:trPr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755C7A00" w14:textId="5598B26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NPTX2,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77C13CD8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0.004 (0.001)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4B482B92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0.004 (0.001)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77967" w14:textId="0A9DE1A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0.71</w:t>
            </w:r>
          </w:p>
        </w:tc>
      </w:tr>
      <w:tr w:rsidR="00ED22D6" w:rsidRPr="00D71022" w14:paraId="26D5C07D" w14:textId="1BD923A9" w:rsidTr="00017C34">
        <w:trPr>
          <w:trHeight w:val="290"/>
        </w:trPr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16A2E07B" w14:textId="5E01671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NPTXR,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018A9D4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0.27 (0.08)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3DC0C1C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0.26 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C98E" w14:textId="65E733B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0.73</w:t>
            </w:r>
          </w:p>
        </w:tc>
      </w:tr>
      <w:tr w:rsidR="00ED22D6" w:rsidRPr="00D71022" w14:paraId="2B6174EE" w14:textId="67F65182" w:rsidTr="00017C34">
        <w:trPr>
          <w:trHeight w:val="290"/>
        </w:trPr>
        <w:tc>
          <w:tcPr>
            <w:tcW w:w="0" w:type="auto"/>
            <w:tcBorders>
              <w:top w:val="nil"/>
            </w:tcBorders>
            <w:noWrap/>
            <w:hideMark/>
          </w:tcPr>
          <w:p w14:paraId="71464344" w14:textId="76DCF4B5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NRXN1,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2F8F68F6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(0.006)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2BBA768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CB0E" w14:textId="71B8B29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0.09</w:t>
            </w:r>
          </w:p>
        </w:tc>
      </w:tr>
      <w:tr w:rsidR="00ED22D6" w:rsidRPr="00D71022" w14:paraId="6B1E53EC" w14:textId="2CF7C854" w:rsidTr="00792BB1">
        <w:trPr>
          <w:trHeight w:val="29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54CF932B" w14:textId="15A4C0A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OGN,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3A4DC81D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(0.003)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5502E52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D1C40" w14:textId="55A888B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0.34</w:t>
            </w:r>
          </w:p>
        </w:tc>
      </w:tr>
      <w:tr w:rsidR="00ED22D6" w:rsidRPr="00D71022" w14:paraId="1E6AAC4D" w14:textId="2FC1A602" w:rsidTr="00792BB1">
        <w:trPr>
          <w:trHeight w:val="290"/>
        </w:trPr>
        <w:tc>
          <w:tcPr>
            <w:tcW w:w="0" w:type="auto"/>
            <w:tcBorders>
              <w:top w:val="nil"/>
              <w:bottom w:val="nil"/>
              <w:right w:val="nil"/>
            </w:tcBorders>
            <w:noWrap/>
            <w:hideMark/>
          </w:tcPr>
          <w:p w14:paraId="05867282" w14:textId="6C7FE570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OMG,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39CC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0.15 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13C1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0.16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A5DA3" w14:textId="3D9205D6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 w:rsidR="00ED22D6" w:rsidRPr="00D71022" w14:paraId="13069A0A" w14:textId="2FB717EC" w:rsidTr="00792BB1">
        <w:trPr>
          <w:trHeight w:val="290"/>
        </w:trPr>
        <w:tc>
          <w:tcPr>
            <w:tcW w:w="0" w:type="auto"/>
            <w:tcBorders>
              <w:top w:val="nil"/>
              <w:bottom w:val="nil"/>
              <w:right w:val="nil"/>
            </w:tcBorders>
            <w:noWrap/>
            <w:hideMark/>
          </w:tcPr>
          <w:p w14:paraId="7D60C210" w14:textId="0191F5E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PARK7,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1D395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0.006 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EA0AB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0.006 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D8D2E" w14:textId="25F6BA6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0.54</w:t>
            </w:r>
          </w:p>
        </w:tc>
      </w:tr>
      <w:tr w:rsidR="00ED22D6" w:rsidRPr="00D71022" w14:paraId="211091A5" w14:textId="6EBDEC62" w:rsidTr="00792BB1">
        <w:trPr>
          <w:trHeight w:val="290"/>
        </w:trPr>
        <w:tc>
          <w:tcPr>
            <w:tcW w:w="0" w:type="auto"/>
            <w:tcBorders>
              <w:top w:val="nil"/>
            </w:tcBorders>
            <w:noWrap/>
            <w:hideMark/>
          </w:tcPr>
          <w:p w14:paraId="7F5023E8" w14:textId="57941881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PEBP1,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407E76E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(0.005)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4EA4BDC2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612B" w14:textId="055A158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</w:t>
            </w:r>
          </w:p>
        </w:tc>
      </w:tr>
      <w:tr w:rsidR="00ED22D6" w:rsidRPr="00D71022" w14:paraId="70C893D1" w14:textId="4CF661F2" w:rsidTr="00792BB1">
        <w:trPr>
          <w:trHeight w:val="290"/>
        </w:trPr>
        <w:tc>
          <w:tcPr>
            <w:tcW w:w="0" w:type="auto"/>
            <w:noWrap/>
            <w:hideMark/>
          </w:tcPr>
          <w:p w14:paraId="13B03C70" w14:textId="677CE86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PGLYRP2,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6B0B51D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0.05 (0.02)</w:t>
            </w:r>
          </w:p>
        </w:tc>
        <w:tc>
          <w:tcPr>
            <w:tcW w:w="0" w:type="auto"/>
            <w:noWrap/>
            <w:hideMark/>
          </w:tcPr>
          <w:p w14:paraId="2C4F144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0.06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86B04" w14:textId="165A32CB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B12ADA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</w:tr>
      <w:tr w:rsidR="00ED22D6" w:rsidRPr="00D71022" w14:paraId="2903B36D" w14:textId="7ACE33B8" w:rsidTr="00792BB1">
        <w:trPr>
          <w:trHeight w:val="290"/>
        </w:trPr>
        <w:tc>
          <w:tcPr>
            <w:tcW w:w="0" w:type="auto"/>
            <w:noWrap/>
            <w:hideMark/>
          </w:tcPr>
          <w:p w14:paraId="59DBBE72" w14:textId="3DED818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PKM,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5E260FA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0.05 (0.02)</w:t>
            </w:r>
          </w:p>
        </w:tc>
        <w:tc>
          <w:tcPr>
            <w:tcW w:w="0" w:type="auto"/>
            <w:noWrap/>
            <w:hideMark/>
          </w:tcPr>
          <w:p w14:paraId="753262C2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0.06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DAF" w14:textId="627D3CA1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2B66522B" w14:textId="3150C585" w:rsidTr="00792BB1">
        <w:trPr>
          <w:trHeight w:val="290"/>
        </w:trPr>
        <w:tc>
          <w:tcPr>
            <w:tcW w:w="0" w:type="auto"/>
            <w:noWrap/>
            <w:hideMark/>
          </w:tcPr>
          <w:p w14:paraId="0E071552" w14:textId="5B8FE3E6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PON1,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40C9B186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(0.003)</w:t>
            </w:r>
          </w:p>
        </w:tc>
        <w:tc>
          <w:tcPr>
            <w:tcW w:w="0" w:type="auto"/>
            <w:noWrap/>
            <w:hideMark/>
          </w:tcPr>
          <w:p w14:paraId="14AC272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5C15" w14:textId="798BD1B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0.16</w:t>
            </w:r>
          </w:p>
        </w:tc>
      </w:tr>
      <w:tr w:rsidR="00ED22D6" w:rsidRPr="00D71022" w14:paraId="4943A495" w14:textId="28F74029" w:rsidTr="00792BB1">
        <w:trPr>
          <w:trHeight w:val="290"/>
        </w:trPr>
        <w:tc>
          <w:tcPr>
            <w:tcW w:w="0" w:type="auto"/>
            <w:noWrap/>
            <w:hideMark/>
          </w:tcPr>
          <w:p w14:paraId="0F6AF70B" w14:textId="3A26DB0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PPIA,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1594160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(0.004)</w:t>
            </w:r>
          </w:p>
        </w:tc>
        <w:tc>
          <w:tcPr>
            <w:tcW w:w="0" w:type="auto"/>
            <w:noWrap/>
            <w:hideMark/>
          </w:tcPr>
          <w:p w14:paraId="6D1E94E9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53705" w14:textId="03F9428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0.68</w:t>
            </w:r>
          </w:p>
        </w:tc>
      </w:tr>
      <w:tr w:rsidR="00ED22D6" w:rsidRPr="00D71022" w14:paraId="4614BBB6" w14:textId="35FC884B" w:rsidTr="00792BB1">
        <w:trPr>
          <w:trHeight w:val="290"/>
        </w:trPr>
        <w:tc>
          <w:tcPr>
            <w:tcW w:w="0" w:type="auto"/>
            <w:noWrap/>
            <w:hideMark/>
          </w:tcPr>
          <w:p w14:paraId="430DBE5F" w14:textId="7FAE5C28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PTPRZ1,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014D1EFA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(0.005)</w:t>
            </w:r>
          </w:p>
        </w:tc>
        <w:tc>
          <w:tcPr>
            <w:tcW w:w="0" w:type="auto"/>
            <w:noWrap/>
            <w:hideMark/>
          </w:tcPr>
          <w:p w14:paraId="06AA15D8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780B" w14:textId="0C7A285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</w:tr>
      <w:tr w:rsidR="00ED22D6" w:rsidRPr="00D71022" w14:paraId="2E7F85A5" w14:textId="50DB0CD2" w:rsidTr="00792BB1">
        <w:trPr>
          <w:trHeight w:val="29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24721BF4" w14:textId="5F1273F3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SCG2,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48A72A45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(0.009)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500D6F9C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7B16C" w14:textId="456B19C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0.91</w:t>
            </w:r>
          </w:p>
        </w:tc>
      </w:tr>
      <w:tr w:rsidR="00ED22D6" w:rsidRPr="00D71022" w14:paraId="6A4E35FA" w14:textId="36AE73F8" w:rsidTr="00792BB1">
        <w:trPr>
          <w:trHeight w:val="290"/>
        </w:trPr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6D36D9D7" w14:textId="61F71036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SMOC1,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6C4FF135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(0.004)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51E571DE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3D51F" w14:textId="38C9B925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63BAE268" w14:textId="7133F2E8" w:rsidTr="00792BB1">
        <w:trPr>
          <w:trHeight w:val="290"/>
        </w:trPr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557999FA" w14:textId="5E35C6C6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SOD1,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3514E3B6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0.07 (0.02)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7D70996D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A96A7" w14:textId="2DD09AF5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</w:tr>
      <w:tr w:rsidR="00ED22D6" w:rsidRPr="00D71022" w14:paraId="557491EF" w14:textId="587285EB" w:rsidTr="00792BB1">
        <w:trPr>
          <w:trHeight w:val="290"/>
        </w:trPr>
        <w:tc>
          <w:tcPr>
            <w:tcW w:w="0" w:type="auto"/>
            <w:tcBorders>
              <w:top w:val="nil"/>
            </w:tcBorders>
            <w:noWrap/>
            <w:hideMark/>
          </w:tcPr>
          <w:p w14:paraId="138C9AB5" w14:textId="50178DFE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SPP1,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1417CCF3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0.82 (0.25)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14:paraId="701E4CC8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1.00 (0.44)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86EF3" w14:textId="36D56CA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D22D6" w:rsidRPr="00D71022" w14:paraId="736B4AA8" w14:textId="59152D4D" w:rsidTr="00792BB1">
        <w:trPr>
          <w:trHeight w:val="290"/>
        </w:trPr>
        <w:tc>
          <w:tcPr>
            <w:tcW w:w="0" w:type="auto"/>
            <w:noWrap/>
            <w:hideMark/>
          </w:tcPr>
          <w:p w14:paraId="740F72A2" w14:textId="32AF30F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TPI1,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0FADB7E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0.004 (0.002)</w:t>
            </w:r>
          </w:p>
        </w:tc>
        <w:tc>
          <w:tcPr>
            <w:tcW w:w="0" w:type="auto"/>
            <w:noWrap/>
            <w:hideMark/>
          </w:tcPr>
          <w:p w14:paraId="1673CC24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0.005 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D8B0" w14:textId="34B6906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0.03</w:t>
            </w:r>
          </w:p>
        </w:tc>
      </w:tr>
      <w:tr w:rsidR="00ED22D6" w:rsidRPr="00D71022" w14:paraId="3760D03E" w14:textId="3CC09920" w:rsidTr="00792BB1">
        <w:trPr>
          <w:trHeight w:val="290"/>
        </w:trPr>
        <w:tc>
          <w:tcPr>
            <w:tcW w:w="0" w:type="auto"/>
            <w:noWrap/>
            <w:hideMark/>
          </w:tcPr>
          <w:p w14:paraId="761BF71B" w14:textId="05F6A949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VGF,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29E3AC30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 (0.04)</w:t>
            </w:r>
          </w:p>
        </w:tc>
        <w:tc>
          <w:tcPr>
            <w:tcW w:w="0" w:type="auto"/>
            <w:noWrap/>
            <w:hideMark/>
          </w:tcPr>
          <w:p w14:paraId="1E517E23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F3B83" w14:textId="5ACF50D4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0.78</w:t>
            </w:r>
          </w:p>
        </w:tc>
      </w:tr>
      <w:tr w:rsidR="00ED22D6" w:rsidRPr="00D71022" w14:paraId="46B47326" w14:textId="1A5AF718" w:rsidTr="00792BB1">
        <w:trPr>
          <w:trHeight w:val="290"/>
        </w:trPr>
        <w:tc>
          <w:tcPr>
            <w:tcW w:w="0" w:type="auto"/>
            <w:noWrap/>
            <w:hideMark/>
          </w:tcPr>
          <w:p w14:paraId="1821B7F6" w14:textId="62C90D6A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YWHAB,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609B1F3F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(0.006)</w:t>
            </w:r>
          </w:p>
        </w:tc>
        <w:tc>
          <w:tcPr>
            <w:tcW w:w="0" w:type="auto"/>
            <w:noWrap/>
            <w:hideMark/>
          </w:tcPr>
          <w:p w14:paraId="3A0AADA5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 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19C7" w14:textId="5E5CCDCC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0.002</w:t>
            </w:r>
          </w:p>
        </w:tc>
      </w:tr>
      <w:tr w:rsidR="00ED22D6" w:rsidRPr="00D71022" w14:paraId="61CD1858" w14:textId="00D7BAC4" w:rsidTr="00792BB1">
        <w:trPr>
          <w:trHeight w:val="290"/>
        </w:trPr>
        <w:tc>
          <w:tcPr>
            <w:tcW w:w="0" w:type="auto"/>
            <w:noWrap/>
            <w:hideMark/>
          </w:tcPr>
          <w:p w14:paraId="13B25B57" w14:textId="561488AD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YWHAZ, </w:t>
            </w:r>
            <w:r w:rsidR="001F1EC6" w:rsidRPr="00D71022"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(SD)</w:t>
            </w:r>
            <w:r w:rsidR="00D44EA8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, fmole/µL</w:t>
            </w:r>
          </w:p>
        </w:tc>
        <w:tc>
          <w:tcPr>
            <w:tcW w:w="0" w:type="auto"/>
            <w:noWrap/>
            <w:hideMark/>
          </w:tcPr>
          <w:p w14:paraId="3C66C69D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 (0.01)</w:t>
            </w:r>
          </w:p>
        </w:tc>
        <w:tc>
          <w:tcPr>
            <w:tcW w:w="0" w:type="auto"/>
            <w:noWrap/>
            <w:hideMark/>
          </w:tcPr>
          <w:p w14:paraId="4DDE3CBE" w14:textId="77777777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0.03 (0.01)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F24B203" w14:textId="295003D2" w:rsidR="00ED22D6" w:rsidRPr="00D71022" w:rsidRDefault="00ED22D6" w:rsidP="00D44EA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</w:tbl>
    <w:p w14:paraId="298F3751" w14:textId="468C3AFB" w:rsidR="00AE288F" w:rsidRPr="00D71022" w:rsidRDefault="00AE288F" w:rsidP="00AE288F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t xml:space="preserve">Values of CSF protein concentrations were presented as mean (standard deviation, SD). Differences in CSF proteins were compared </w:t>
      </w:r>
      <w:r w:rsidR="00CB2BFB" w:rsidRPr="00D71022">
        <w:rPr>
          <w:rFonts w:ascii="Times New Roman" w:hAnsi="Times New Roman" w:cs="Times New Roman"/>
          <w:sz w:val="21"/>
          <w:szCs w:val="21"/>
        </w:rPr>
        <w:t>employ</w:t>
      </w:r>
      <w:r w:rsidRPr="00D71022">
        <w:rPr>
          <w:rFonts w:ascii="Times New Roman" w:hAnsi="Times New Roman" w:cs="Times New Roman"/>
          <w:sz w:val="21"/>
          <w:szCs w:val="21"/>
        </w:rPr>
        <w:t xml:space="preserve">ing </w:t>
      </w:r>
      <w:r w:rsidR="00ED22D6" w:rsidRPr="00D71022">
        <w:rPr>
          <w:rFonts w:ascii="Times New Roman" w:hAnsi="Times New Roman" w:cs="Times New Roman"/>
          <w:sz w:val="21"/>
          <w:szCs w:val="21"/>
        </w:rPr>
        <w:t>linear models</w:t>
      </w:r>
      <w:r w:rsidRPr="00D71022">
        <w:rPr>
          <w:rFonts w:ascii="Times New Roman" w:hAnsi="Times New Roman" w:cs="Times New Roman"/>
          <w:sz w:val="21"/>
          <w:szCs w:val="21"/>
        </w:rPr>
        <w:t xml:space="preserve"> with age, gender, APOE ε4 allele status</w:t>
      </w:r>
      <w:r w:rsidR="00A52635" w:rsidRPr="00D71022">
        <w:rPr>
          <w:rFonts w:ascii="Times New Roman" w:hAnsi="Times New Roman" w:cs="Times New Roman"/>
          <w:sz w:val="21"/>
          <w:szCs w:val="21"/>
        </w:rPr>
        <w:t xml:space="preserve">, and years of education </w:t>
      </w:r>
      <w:r w:rsidRPr="00D71022">
        <w:rPr>
          <w:rFonts w:ascii="Times New Roman" w:hAnsi="Times New Roman" w:cs="Times New Roman"/>
          <w:sz w:val="21"/>
          <w:szCs w:val="21"/>
        </w:rPr>
        <w:t xml:space="preserve">as covariates. The protein concentrations were log-transformed </w:t>
      </w:r>
      <w:r w:rsidR="00D44EA8" w:rsidRPr="00D71022">
        <w:rPr>
          <w:rFonts w:ascii="Times New Roman" w:hAnsi="Times New Roman" w:cs="Times New Roman"/>
          <w:sz w:val="21"/>
          <w:szCs w:val="21"/>
        </w:rPr>
        <w:t>in linear models</w:t>
      </w:r>
      <w:r w:rsidRPr="00D7102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5F1B9AA" w14:textId="0CC552BB" w:rsidR="0016394C" w:rsidRPr="00D71022" w:rsidRDefault="00AE288F" w:rsidP="0016394C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t>ALB: Albumin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Aβ42: Amyloid beta 42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Aβ38: Amyloid beta 38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Aβ40: Amyloid beta 40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ALDOA: Aldolase, fructose-bisphosphate A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APOA4: Apolipoprotein A4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>APOC1: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>Apolipoprotein C1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APOC2: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>Apolipoprotein C2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bookmarkStart w:id="2" w:name="_Hlk165294486"/>
      <w:r w:rsidR="00D71022">
        <w:rPr>
          <w:rFonts w:ascii="Times New Roman" w:hAnsi="Times New Roman" w:cs="Times New Roman"/>
          <w:color w:val="000000"/>
          <w:sz w:val="21"/>
          <w:szCs w:val="21"/>
        </w:rPr>
        <w:t>APOE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>: Apolipoprotein E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bookmarkEnd w:id="2"/>
      <w:r w:rsidRPr="00D71022">
        <w:rPr>
          <w:rFonts w:ascii="Times New Roman" w:hAnsi="Times New Roman" w:cs="Times New Roman"/>
          <w:color w:val="000000"/>
          <w:sz w:val="21"/>
          <w:szCs w:val="21"/>
        </w:rPr>
        <w:t>C9: Complement component 9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CALM2: Calmodulin 2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bookmarkStart w:id="3" w:name="_Hlk165294511"/>
      <w:r w:rsidRPr="00D71022">
        <w:rPr>
          <w:rFonts w:ascii="Times New Roman" w:hAnsi="Times New Roman" w:cs="Times New Roman"/>
          <w:color w:val="000000"/>
          <w:sz w:val="21"/>
          <w:szCs w:val="21"/>
        </w:rPr>
        <w:t>CHI3L1: Chitinase-3-like protein 1</w:t>
      </w:r>
      <w:bookmarkEnd w:id="3"/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CP: Ceruloplasmin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DDAH1: Dimethylarginine dimethylaminohydrolase 1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DKK3: Dickkopf-3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ENO1: Enolase 1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F2: Coagulation factor II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GAPDH: Glyceraldehyde-3-phosphate dehydrogenase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GDA: Guanine 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lastRenderedPageBreak/>
        <w:t>deaminase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GMFB: Glia maturation factor beta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GOT1: Aspartate aminotransferase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color w:val="000000"/>
          <w:sz w:val="21"/>
          <w:szCs w:val="21"/>
        </w:rPr>
        <w:t xml:space="preserve"> GSN: Gelsolin</w:t>
      </w:r>
      <w:r w:rsidR="009512DB" w:rsidRPr="00D71022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r w:rsidR="004E3192" w:rsidRPr="00D71022">
        <w:rPr>
          <w:rFonts w:ascii="Times New Roman" w:hAnsi="Times New Roman" w:cs="Times New Roman"/>
          <w:sz w:val="21"/>
          <w:szCs w:val="21"/>
        </w:rPr>
        <w:t>HBA</w:t>
      </w:r>
      <w:r w:rsidRPr="00D71022">
        <w:rPr>
          <w:rFonts w:ascii="Times New Roman" w:hAnsi="Times New Roman" w:cs="Times New Roman"/>
          <w:sz w:val="21"/>
          <w:szCs w:val="21"/>
        </w:rPr>
        <w:t>: Hemoglobin A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HBB: Hemoglobin B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KNG1: Kininogen 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LDHB: Lactate dehydrogenase B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LDHC: Lactate dehydrogenase C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MDH1: Malate dehydrogenase 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NCAM1: Neural cell adhesion molecule1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NPTX2: Neuronal pentraxin 2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NPTXR: Neuronal pentraxin receptor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NRXN1: Neurexin-1-alpha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OGN: Osteoglycin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OMG: Oligodendrocyte-myelin glycoprotein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PARK7: Parkinson disease protein 7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PEBP1: Phosphatidylethanolamine binding protein 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PGLYRP2: Peptidoglycan recognition protein 2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bookmarkStart w:id="4" w:name="_Hlk157017690"/>
      <w:r w:rsidRPr="00D71022">
        <w:rPr>
          <w:rFonts w:ascii="Times New Roman" w:hAnsi="Times New Roman" w:cs="Times New Roman"/>
          <w:sz w:val="21"/>
          <w:szCs w:val="21"/>
        </w:rPr>
        <w:t>PGRN: Progranulin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PKM: Pyruvate kinase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PON1: Paraoxonase 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PPIA: Peptidylprolyl isomerase A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pTau: Phosphorylated Tau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PTPRZ1: Protein tyrosine phosphatase receptor type Z1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SCG2: Secretogranin II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bookmarkStart w:id="5" w:name="_Hlk165294594"/>
      <w:r w:rsidRPr="00D71022">
        <w:rPr>
          <w:rFonts w:ascii="Times New Roman" w:hAnsi="Times New Roman" w:cs="Times New Roman"/>
          <w:sz w:val="21"/>
          <w:szCs w:val="21"/>
        </w:rPr>
        <w:t>SMOC1: SPARC-related modular calcium binding 1</w:t>
      </w:r>
      <w:bookmarkEnd w:id="5"/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SOD1: Superoxide dismutase 1, soluble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SPP 1: Secreted phosphoprotein 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TPI1: Triosephosphate isomerase 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TREM</w:t>
      </w:r>
      <w:r w:rsidRPr="00D71022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D71022">
        <w:rPr>
          <w:rFonts w:ascii="Times New Roman" w:hAnsi="Times New Roman" w:cs="Times New Roman"/>
          <w:sz w:val="21"/>
          <w:szCs w:val="21"/>
        </w:rPr>
        <w:t>: Trigger receptor expressed on myeloid cells-2</w:t>
      </w:r>
      <w:bookmarkEnd w:id="4"/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VGF: VGF nerve growth factor inducible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YWHAB: Tyrosine 3-monooxygenase/tryptophan 5-monooxygenase activation protein beta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YWHAZ: Tyrosine 3-monooxygenase/tryptophan 5-monooxygenase activation protein zeta. </w:t>
      </w:r>
    </w:p>
    <w:p w14:paraId="5F44D543" w14:textId="1C11686A" w:rsidR="0016394C" w:rsidRPr="00D71022" w:rsidRDefault="0016394C" w:rsidP="0016394C">
      <w:pPr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br w:type="page"/>
      </w:r>
    </w:p>
    <w:p w14:paraId="3E1F39B1" w14:textId="022C230B" w:rsidR="0016394C" w:rsidRPr="00017C34" w:rsidRDefault="0016394C" w:rsidP="000F0996">
      <w:pPr>
        <w:pStyle w:val="1"/>
        <w:spacing w:line="360" w:lineRule="auto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6" w:name="_Hlk166350066"/>
      <w:r w:rsidRPr="00017C34">
        <w:rPr>
          <w:rFonts w:ascii="Times New Roman" w:hAnsi="Times New Roman" w:cs="Times New Roman"/>
          <w:sz w:val="21"/>
          <w:szCs w:val="21"/>
        </w:rPr>
        <w:lastRenderedPageBreak/>
        <w:t>Supplementary Table 2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Demographic, </w:t>
      </w:r>
      <w:r w:rsidR="006F57B4" w:rsidRPr="006F57B4">
        <w:rPr>
          <w:rFonts w:ascii="Times New Roman" w:hAnsi="Times New Roman" w:cs="Times New Roman"/>
          <w:b w:val="0"/>
          <w:bCs w:val="0"/>
          <w:sz w:val="21"/>
          <w:szCs w:val="21"/>
        </w:rPr>
        <w:t>Clinical Characteristics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, </w:t>
      </w:r>
      <w:r w:rsidR="009512DB"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and </w:t>
      </w:r>
      <w:r w:rsidR="00937C84"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Candidate </w:t>
      </w:r>
      <w:r w:rsidR="009512DB"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Hub 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>Protein</w:t>
      </w:r>
      <w:r w:rsidR="00937C84"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>s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Patterns </w:t>
      </w:r>
      <w:r w:rsidR="00B12ADA">
        <w:rPr>
          <w:rFonts w:ascii="Times New Roman" w:hAnsi="Times New Roman" w:cs="Times New Roman" w:hint="eastAsia"/>
          <w:b w:val="0"/>
          <w:bCs w:val="0"/>
          <w:sz w:val="21"/>
          <w:szCs w:val="21"/>
        </w:rPr>
        <w:t>A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>cross Differ</w:t>
      </w:r>
      <w:r w:rsidRPr="00B12ADA">
        <w:rPr>
          <w:rFonts w:ascii="Times New Roman" w:hAnsi="Times New Roman" w:cs="Times New Roman"/>
          <w:b w:val="0"/>
          <w:bCs w:val="0"/>
          <w:sz w:val="21"/>
          <w:szCs w:val="21"/>
        </w:rPr>
        <w:t>ent</w:t>
      </w:r>
      <w:r w:rsidR="00B12ADA" w:rsidRPr="00B12ADA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Aβ</w:t>
      </w:r>
      <w:r w:rsidRPr="00B12ADA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Patholo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>gical Groups</w:t>
      </w:r>
    </w:p>
    <w:bookmarkEnd w:id="6"/>
    <w:tbl>
      <w:tblPr>
        <w:tblStyle w:val="a3"/>
        <w:tblW w:w="9128" w:type="dxa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587"/>
        <w:gridCol w:w="1587"/>
        <w:gridCol w:w="1134"/>
      </w:tblGrid>
      <w:tr w:rsidR="0016394C" w:rsidRPr="00D71022" w14:paraId="2B3C4A25" w14:textId="77777777" w:rsidTr="00353DE4">
        <w:trPr>
          <w:trHeight w:val="280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EF5203B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CE2449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CSF-PET- </w:t>
            </w:r>
          </w:p>
          <w:p w14:paraId="7F6EF1F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238)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E452350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CSF+PET- </w:t>
            </w:r>
          </w:p>
          <w:p w14:paraId="1D688FB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15)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F5DA57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CSF+PET+ </w:t>
            </w:r>
          </w:p>
          <w:p w14:paraId="56A26F9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168)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0A0FDFB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16394C" w:rsidRPr="00D71022" w14:paraId="3A3032BC" w14:textId="77777777" w:rsidTr="00353DE4">
        <w:trPr>
          <w:trHeight w:val="280"/>
        </w:trPr>
        <w:tc>
          <w:tcPr>
            <w:tcW w:w="3119" w:type="dxa"/>
            <w:tcBorders>
              <w:top w:val="single" w:sz="12" w:space="0" w:color="auto"/>
              <w:bottom w:val="nil"/>
            </w:tcBorders>
            <w:noWrap/>
          </w:tcPr>
          <w:p w14:paraId="42F53D9D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Demographic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9978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508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B75DA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</w:tcPr>
          <w:p w14:paraId="7034F1E1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6394C" w:rsidRPr="00D71022" w14:paraId="1B102E53" w14:textId="77777777" w:rsidTr="00353DE4">
        <w:trPr>
          <w:trHeight w:val="280"/>
        </w:trPr>
        <w:tc>
          <w:tcPr>
            <w:tcW w:w="3119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661722A6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MCI, N(%)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917AB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 (53%)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B09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 (60%)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FC8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 (80%)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26941DB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12E80ABD" w14:textId="77777777" w:rsidTr="00353DE4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56CDEFB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Male, N(%)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2D80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 (53%)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C75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 (60%)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BFE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96 (57%)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56F1E3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0.60</w:t>
            </w:r>
          </w:p>
        </w:tc>
      </w:tr>
      <w:tr w:rsidR="0016394C" w:rsidRPr="00D71022" w14:paraId="793EBC3E" w14:textId="77777777" w:rsidTr="00353DE4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6AF0C2C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APOE 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ε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4 Carrier, N(%)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s-E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E6A59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 (22%)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89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 (40%)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436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119 (71%)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8BFB91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2C73B8BA" w14:textId="77777777" w:rsidTr="00353DE4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76C89D2B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Age, Mean(SD), y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2643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70.20 (6.97)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97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75.21 (6.70)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86E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73.36 (6.97)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974661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6B0EC0FF" w14:textId="77777777" w:rsidTr="00353DE4">
        <w:trPr>
          <w:trHeight w:val="280"/>
        </w:trPr>
        <w:tc>
          <w:tcPr>
            <w:tcW w:w="3119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6E8287F7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Education Years, Mean(SD), 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A70B1D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16.51 (2.53)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21F17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16.20 (2.24)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A11B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16.24 (2.63)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57E443ED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0.55</w:t>
            </w:r>
          </w:p>
        </w:tc>
      </w:tr>
      <w:tr w:rsidR="0016394C" w:rsidRPr="00D71022" w14:paraId="42A363EB" w14:textId="77777777" w:rsidTr="00353DE4">
        <w:trPr>
          <w:trHeight w:val="280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00EF80A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Cognitive Scores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14:paraId="494E65C8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nil"/>
            </w:tcBorders>
            <w:noWrap/>
          </w:tcPr>
          <w:p w14:paraId="5FA394CD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nil"/>
            </w:tcBorders>
            <w:noWrap/>
          </w:tcPr>
          <w:p w14:paraId="219072F0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D961B55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6394C" w:rsidRPr="00D71022" w14:paraId="5F165374" w14:textId="77777777" w:rsidTr="00353DE4">
        <w:trPr>
          <w:trHeight w:val="280"/>
        </w:trPr>
        <w:tc>
          <w:tcPr>
            <w:tcW w:w="3119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113D189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s-ES"/>
              </w:rPr>
              <w:t xml:space="preserve"> b</w:t>
            </w:r>
          </w:p>
        </w:tc>
        <w:tc>
          <w:tcPr>
            <w:tcW w:w="1701" w:type="dxa"/>
            <w:tcBorders>
              <w:bottom w:val="nil"/>
            </w:tcBorders>
          </w:tcPr>
          <w:p w14:paraId="6FE654F7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28.89 (1.34)</w:t>
            </w:r>
          </w:p>
        </w:tc>
        <w:tc>
          <w:tcPr>
            <w:tcW w:w="1587" w:type="dxa"/>
            <w:tcBorders>
              <w:bottom w:val="nil"/>
            </w:tcBorders>
            <w:noWrap/>
            <w:hideMark/>
          </w:tcPr>
          <w:p w14:paraId="7256735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28.60 (1.55)</w:t>
            </w:r>
          </w:p>
        </w:tc>
        <w:tc>
          <w:tcPr>
            <w:tcW w:w="1587" w:type="dxa"/>
            <w:tcBorders>
              <w:bottom w:val="nil"/>
            </w:tcBorders>
            <w:noWrap/>
            <w:hideMark/>
          </w:tcPr>
          <w:p w14:paraId="7993310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27.67 (1.84)</w:t>
            </w:r>
          </w:p>
        </w:tc>
        <w:tc>
          <w:tcPr>
            <w:tcW w:w="1134" w:type="dxa"/>
            <w:tcBorders>
              <w:bottom w:val="nil"/>
            </w:tcBorders>
          </w:tcPr>
          <w:p w14:paraId="1ECDFAA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2C5FCF34" w14:textId="77777777" w:rsidTr="00353DE4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768C611A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s-ES"/>
              </w:rPr>
              <w:t xml:space="preserve"> bc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62C18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-1.63 (3.53)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BC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-2.42 (3.52)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4D4E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-6.33 (4.89)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359347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4D415FD6" w14:textId="77777777" w:rsidTr="00353DE4">
        <w:trPr>
          <w:trHeight w:val="280"/>
        </w:trPr>
        <w:tc>
          <w:tcPr>
            <w:tcW w:w="3119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29CD182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s-ES"/>
              </w:rPr>
              <w:t xml:space="preserve"> 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51E5D58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-1.28 (3.16)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A8D8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-2.38 (2.94)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694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-5.52 (4.23)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722D41C7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05EE0AF2" w14:textId="77777777" w:rsidTr="00353DE4">
        <w:trPr>
          <w:trHeight w:val="280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00667F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CSF Proteins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0272E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FA7B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53ABE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9EB60D0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6394C" w:rsidRPr="00D71022" w14:paraId="2C912CB0" w14:textId="77777777" w:rsidTr="00353DE4">
        <w:trPr>
          <w:trHeight w:val="280"/>
        </w:trPr>
        <w:tc>
          <w:tcPr>
            <w:tcW w:w="3119" w:type="dxa"/>
            <w:tcBorders>
              <w:top w:val="single" w:sz="12" w:space="0" w:color="auto"/>
            </w:tcBorders>
            <w:noWrap/>
          </w:tcPr>
          <w:p w14:paraId="1826914D" w14:textId="1CE48481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Aβ42,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ab</w:t>
            </w:r>
            <w:r w:rsidR="00072140" w:rsidRPr="00D71022">
              <w:rPr>
                <w:rFonts w:ascii="Times New Roman" w:hAnsi="Times New Roman" w:cs="Times New Roman"/>
                <w:sz w:val="21"/>
                <w:szCs w:val="21"/>
              </w:rPr>
              <w:t>, pg/ml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0F0F8" w14:textId="61050BA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1586.33 (537.95)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243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777.12 (284.65)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84A8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720.79 (225.19)</w:t>
            </w:r>
          </w:p>
        </w:tc>
        <w:tc>
          <w:tcPr>
            <w:tcW w:w="1134" w:type="dxa"/>
            <w:tcBorders>
              <w:top w:val="nil"/>
            </w:tcBorders>
          </w:tcPr>
          <w:p w14:paraId="5233E97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42E9DC8A" w14:textId="77777777" w:rsidTr="00353DE4">
        <w:trPr>
          <w:trHeight w:val="280"/>
        </w:trPr>
        <w:tc>
          <w:tcPr>
            <w:tcW w:w="3119" w:type="dxa"/>
            <w:tcBorders>
              <w:bottom w:val="nil"/>
            </w:tcBorders>
            <w:noWrap/>
          </w:tcPr>
          <w:p w14:paraId="586C3254" w14:textId="05BC03C3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Tau,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ab</w:t>
            </w:r>
            <w:r w:rsidR="00072140" w:rsidRPr="00D71022">
              <w:rPr>
                <w:rFonts w:ascii="Times New Roman" w:hAnsi="Times New Roman" w:cs="Times New Roman"/>
                <w:sz w:val="21"/>
                <w:szCs w:val="21"/>
              </w:rPr>
              <w:t>, pg/ml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3AAEA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203.98 (67.73)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AA26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297.05 (79.41)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C5729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354.27 (132.38)</w:t>
            </w:r>
          </w:p>
        </w:tc>
        <w:tc>
          <w:tcPr>
            <w:tcW w:w="1134" w:type="dxa"/>
            <w:tcBorders>
              <w:bottom w:val="nil"/>
            </w:tcBorders>
          </w:tcPr>
          <w:p w14:paraId="6DC89430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0A4DD186" w14:textId="77777777" w:rsidTr="000F0996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</w:tcPr>
          <w:p w14:paraId="20BE7194" w14:textId="18E8FA7A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pTau,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ab</w:t>
            </w:r>
            <w:r w:rsidR="00072140" w:rsidRPr="00D71022">
              <w:rPr>
                <w:rFonts w:ascii="Times New Roman" w:hAnsi="Times New Roman" w:cs="Times New Roman"/>
                <w:sz w:val="21"/>
                <w:szCs w:val="21"/>
              </w:rPr>
              <w:t>, pg/ml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7ED4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17.86 (6.04)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633E0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27.55 (7.61)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00FA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35.82 (14.73)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FF402C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16394C" w:rsidRPr="00D71022" w14:paraId="4499E880" w14:textId="77777777" w:rsidTr="000F0996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</w:tcPr>
          <w:p w14:paraId="666BA6C4" w14:textId="673CA029" w:rsidR="0016394C" w:rsidRPr="00D71022" w:rsidRDefault="00D71022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16394C" w:rsidRPr="00D71022">
              <w:rPr>
                <w:rFonts w:ascii="Times New Roman" w:hAnsi="Times New Roman" w:cs="Times New Roman"/>
                <w:sz w:val="21"/>
                <w:szCs w:val="21"/>
              </w:rPr>
              <w:t>, Mean(SD)</w:t>
            </w:r>
            <w:r w:rsidR="0016394C"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b</w:t>
            </w:r>
            <w:r w:rsidR="00072140" w:rsidRPr="00D71022">
              <w:rPr>
                <w:rFonts w:ascii="Times New Roman" w:hAnsi="Times New Roman" w:cs="Times New Roman"/>
                <w:sz w:val="21"/>
                <w:szCs w:val="21"/>
              </w:rPr>
              <w:t>, fmole/µL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9AA09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1.80 (3.64)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E647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4.75 (6.65)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ADE7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6.95 (5.71)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84C58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0.006</w:t>
            </w:r>
          </w:p>
        </w:tc>
      </w:tr>
      <w:tr w:rsidR="0016394C" w:rsidRPr="00D71022" w14:paraId="20102F13" w14:textId="77777777" w:rsidTr="000F0996">
        <w:trPr>
          <w:trHeight w:val="280"/>
        </w:trPr>
        <w:tc>
          <w:tcPr>
            <w:tcW w:w="3119" w:type="dxa"/>
            <w:tcBorders>
              <w:top w:val="nil"/>
              <w:bottom w:val="single" w:sz="12" w:space="0" w:color="auto"/>
            </w:tcBorders>
            <w:noWrap/>
          </w:tcPr>
          <w:p w14:paraId="5F7957A5" w14:textId="45970046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ab</w:t>
            </w:r>
            <w:r w:rsidR="00072140" w:rsidRPr="00D71022">
              <w:rPr>
                <w:rFonts w:ascii="Times New Roman" w:hAnsi="Times New Roman" w:cs="Times New Roman"/>
                <w:sz w:val="21"/>
                <w:szCs w:val="21"/>
              </w:rPr>
              <w:t>, fmole/µL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D242EB4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0.36 (0.11)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020A076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0.47 (0.15)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EB88603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 (0.14)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07FA154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</w:tbl>
    <w:p w14:paraId="3249D93E" w14:textId="1C5EC7BB" w:rsidR="000F0996" w:rsidRPr="000F0996" w:rsidRDefault="000F0996" w:rsidP="000F0996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17C34">
        <w:rPr>
          <w:rFonts w:ascii="Times New Roman" w:hAnsi="Times New Roman" w:cs="Times New Roman"/>
          <w:b/>
          <w:bCs/>
          <w:sz w:val="21"/>
          <w:szCs w:val="21"/>
        </w:rPr>
        <w:lastRenderedPageBreak/>
        <w:t>Supplementary Table 2</w:t>
      </w:r>
      <w:r w:rsidRPr="00017C34">
        <w:rPr>
          <w:rFonts w:ascii="Times New Roman" w:hAnsi="Times New Roman" w:cs="Times New Roman"/>
          <w:sz w:val="21"/>
          <w:szCs w:val="21"/>
        </w:rPr>
        <w:t xml:space="preserve"> Demographic, Cognitive Scores, and Candidate Hub Proteins Patterns </w:t>
      </w:r>
      <w:r w:rsidR="00B12ADA">
        <w:rPr>
          <w:rFonts w:ascii="Times New Roman" w:hAnsi="Times New Roman" w:cs="Times New Roman" w:hint="eastAsia"/>
          <w:sz w:val="21"/>
          <w:szCs w:val="21"/>
        </w:rPr>
        <w:t>A</w:t>
      </w:r>
      <w:r w:rsidRPr="00017C34">
        <w:rPr>
          <w:rFonts w:ascii="Times New Roman" w:hAnsi="Times New Roman" w:cs="Times New Roman"/>
          <w:sz w:val="21"/>
          <w:szCs w:val="21"/>
        </w:rPr>
        <w:t>cross Differ</w:t>
      </w:r>
      <w:r w:rsidRPr="00703F71">
        <w:rPr>
          <w:rFonts w:ascii="Times New Roman" w:hAnsi="Times New Roman" w:cs="Times New Roman"/>
          <w:sz w:val="21"/>
          <w:szCs w:val="21"/>
        </w:rPr>
        <w:t xml:space="preserve">ent </w:t>
      </w:r>
      <w:r w:rsidR="00703F71" w:rsidRPr="00703F71">
        <w:rPr>
          <w:rFonts w:ascii="Times New Roman" w:hAnsi="Times New Roman" w:cs="Times New Roman"/>
          <w:sz w:val="21"/>
          <w:szCs w:val="21"/>
        </w:rPr>
        <w:t>Aβ</w:t>
      </w:r>
      <w:r w:rsidR="00703F71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17C34">
        <w:rPr>
          <w:rFonts w:ascii="Times New Roman" w:hAnsi="Times New Roman" w:cs="Times New Roman"/>
          <w:sz w:val="21"/>
          <w:szCs w:val="21"/>
        </w:rPr>
        <w:t>Pathological Groups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D71022">
        <w:rPr>
          <w:rFonts w:ascii="Times New Roman" w:hAnsi="Times New Roman" w:cs="Times New Roman"/>
          <w:sz w:val="21"/>
          <w:szCs w:val="21"/>
        </w:rPr>
        <w:t>(Continued)</w:t>
      </w:r>
    </w:p>
    <w:tbl>
      <w:tblPr>
        <w:tblStyle w:val="a3"/>
        <w:tblW w:w="9128" w:type="dxa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587"/>
        <w:gridCol w:w="1587"/>
        <w:gridCol w:w="1134"/>
      </w:tblGrid>
      <w:tr w:rsidR="000F0996" w:rsidRPr="00D71022" w14:paraId="6ECE2E11" w14:textId="77777777" w:rsidTr="001D0B54">
        <w:trPr>
          <w:trHeight w:val="280"/>
        </w:trPr>
        <w:tc>
          <w:tcPr>
            <w:tcW w:w="3119" w:type="dxa"/>
            <w:tcBorders>
              <w:top w:val="single" w:sz="12" w:space="0" w:color="auto"/>
            </w:tcBorders>
            <w:noWrap/>
          </w:tcPr>
          <w:p w14:paraId="5FF137AE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209D8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CSF-PET- </w:t>
            </w:r>
          </w:p>
          <w:p w14:paraId="37707212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238)</w:t>
            </w: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4E4C4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CSF+PET- </w:t>
            </w:r>
          </w:p>
          <w:p w14:paraId="5559374D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15)</w:t>
            </w: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B67CD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CSF+PET+ </w:t>
            </w:r>
          </w:p>
          <w:p w14:paraId="7CBA13B6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(N = 168)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9933112" w14:textId="77777777" w:rsidR="000F0996" w:rsidRPr="00D71022" w:rsidRDefault="000F0996" w:rsidP="001D0B54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16394C" w:rsidRPr="00D71022" w14:paraId="3B16B78B" w14:textId="77777777" w:rsidTr="000F0996">
        <w:trPr>
          <w:trHeight w:val="280"/>
        </w:trPr>
        <w:tc>
          <w:tcPr>
            <w:tcW w:w="3119" w:type="dxa"/>
            <w:tcBorders>
              <w:top w:val="single" w:sz="12" w:space="0" w:color="auto"/>
            </w:tcBorders>
            <w:noWrap/>
          </w:tcPr>
          <w:p w14:paraId="27EAA84C" w14:textId="4CF255FF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SMOC1, Mean(SD)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ab</w:t>
            </w:r>
            <w:r w:rsidR="00072140" w:rsidRPr="00D71022">
              <w:rPr>
                <w:rFonts w:ascii="Times New Roman" w:hAnsi="Times New Roman" w:cs="Times New Roman"/>
                <w:sz w:val="21"/>
                <w:szCs w:val="21"/>
              </w:rPr>
              <w:t>, fmole/µL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472E85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0.011 (0.004)</w:t>
            </w: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5D08605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0.015 (0.004)</w:t>
            </w: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BB2689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0.016 (0.006)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66490DF" w14:textId="77777777" w:rsidR="0016394C" w:rsidRPr="00D71022" w:rsidRDefault="0016394C" w:rsidP="0016394C">
            <w:pPr>
              <w:shd w:val="clear" w:color="auto" w:fill="FFFFFF"/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</w:tbl>
    <w:p w14:paraId="718C24FD" w14:textId="1843333D" w:rsidR="0016394C" w:rsidRPr="00D71022" w:rsidRDefault="0016394C" w:rsidP="0016394C">
      <w:pPr>
        <w:shd w:val="clear" w:color="auto" w:fill="FFFFFF"/>
        <w:spacing w:beforeLines="50" w:before="156" w:afterLines="50" w:after="156" w:line="360" w:lineRule="auto"/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t xml:space="preserve">For continuous variables, the values were presented as mean (standard deviation, SD). Demographic comparisons were conducted using Chi-square tests for categorical variables, the Kruskal-Wallis H test for the continuous variable with a non-normal distribution (years of education), and ANOVA for the continuous variable with a normal distribution (age). Disparities in cognitive scores </w:t>
      </w:r>
      <w:r w:rsidR="00F43E38" w:rsidRPr="00D71022">
        <w:rPr>
          <w:rFonts w:ascii="Times New Roman" w:hAnsi="Times New Roman" w:cs="Times New Roman"/>
          <w:sz w:val="21"/>
          <w:szCs w:val="21"/>
        </w:rPr>
        <w:t xml:space="preserve">and CSF proteins </w:t>
      </w:r>
      <w:r w:rsidRPr="00D71022">
        <w:rPr>
          <w:rFonts w:ascii="Times New Roman" w:hAnsi="Times New Roman" w:cs="Times New Roman"/>
          <w:sz w:val="21"/>
          <w:szCs w:val="21"/>
        </w:rPr>
        <w:t xml:space="preserve">were assessed using </w:t>
      </w:r>
      <w:bookmarkStart w:id="7" w:name="_Hlk166456317"/>
      <w:r w:rsidR="00A4220C" w:rsidRPr="00A4220C">
        <w:rPr>
          <w:rFonts w:ascii="Times New Roman" w:hAnsi="Times New Roman" w:cs="Times New Roman"/>
          <w:sz w:val="21"/>
          <w:szCs w:val="21"/>
        </w:rPr>
        <w:t xml:space="preserve">Analysis of Covariance </w:t>
      </w:r>
      <w:r w:rsidR="00A4220C">
        <w:rPr>
          <w:rFonts w:ascii="Times New Roman" w:hAnsi="Times New Roman" w:cs="Times New Roman" w:hint="eastAsia"/>
          <w:sz w:val="21"/>
          <w:szCs w:val="21"/>
        </w:rPr>
        <w:t>(</w:t>
      </w:r>
      <w:r w:rsidRPr="00D71022">
        <w:rPr>
          <w:rFonts w:ascii="Times New Roman" w:hAnsi="Times New Roman" w:cs="Times New Roman"/>
          <w:sz w:val="21"/>
          <w:szCs w:val="21"/>
        </w:rPr>
        <w:t>ANCOVA</w:t>
      </w:r>
      <w:r w:rsidR="00A4220C">
        <w:rPr>
          <w:rFonts w:ascii="Times New Roman" w:hAnsi="Times New Roman" w:cs="Times New Roman" w:hint="eastAsia"/>
          <w:sz w:val="21"/>
          <w:szCs w:val="21"/>
        </w:rPr>
        <w:t>)</w:t>
      </w:r>
      <w:bookmarkEnd w:id="7"/>
      <w:r w:rsidRPr="00D71022">
        <w:rPr>
          <w:rFonts w:ascii="Times New Roman" w:hAnsi="Times New Roman" w:cs="Times New Roman"/>
          <w:sz w:val="21"/>
          <w:szCs w:val="21"/>
        </w:rPr>
        <w:t xml:space="preserve"> with age, gender, APOE ε4 </w:t>
      </w:r>
      <w:r w:rsidR="00B22A98">
        <w:rPr>
          <w:rFonts w:ascii="Times New Roman" w:hAnsi="Times New Roman" w:cs="Times New Roman" w:hint="eastAsia"/>
          <w:sz w:val="21"/>
          <w:szCs w:val="21"/>
        </w:rPr>
        <w:t>carrying</w:t>
      </w:r>
      <w:r w:rsidRPr="00D71022">
        <w:rPr>
          <w:rFonts w:ascii="Times New Roman" w:hAnsi="Times New Roman" w:cs="Times New Roman"/>
          <w:sz w:val="21"/>
          <w:szCs w:val="21"/>
        </w:rPr>
        <w:t xml:space="preserve"> status, and years of education as covariates. The protein concentrations were log-transformed. Aβ-PET positive participants whose Aβ42/pTau levels did not reach the cutoff </w:t>
      </w:r>
      <w:r w:rsidR="00703F71">
        <w:rPr>
          <w:rFonts w:ascii="Times New Roman" w:hAnsi="Times New Roman" w:cs="Times New Roman" w:hint="eastAsia"/>
          <w:sz w:val="21"/>
          <w:szCs w:val="21"/>
        </w:rPr>
        <w:t xml:space="preserve">value </w:t>
      </w:r>
      <w:r w:rsidRPr="00D71022">
        <w:rPr>
          <w:rFonts w:ascii="Times New Roman" w:hAnsi="Times New Roman" w:cs="Times New Roman"/>
          <w:sz w:val="21"/>
          <w:szCs w:val="21"/>
        </w:rPr>
        <w:t>of 39.2 (N = 53) were excluded from the cross-sectional comparison.</w:t>
      </w:r>
    </w:p>
    <w:p w14:paraId="2873E16B" w14:textId="77777777" w:rsidR="0016394C" w:rsidRPr="00D71022" w:rsidRDefault="0016394C" w:rsidP="0016394C">
      <w:pPr>
        <w:shd w:val="clear" w:color="auto" w:fill="FFFFFF"/>
        <w:spacing w:beforeLines="50" w:before="156" w:afterLines="50" w:after="156" w:line="360" w:lineRule="auto"/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D71022">
        <w:rPr>
          <w:rFonts w:ascii="Times New Roman" w:hAnsi="Times New Roman" w:cs="Times New Roman"/>
          <w:sz w:val="21"/>
          <w:szCs w:val="21"/>
        </w:rPr>
        <w:t xml:space="preserve"> value adjustment for multiple comparisons was made using the Bonferroni method with a significance level of 0.05: </w:t>
      </w:r>
      <w:r w:rsidRPr="00D71022">
        <w:rPr>
          <w:rFonts w:ascii="Times New Roman" w:hAnsi="Times New Roman" w:cs="Times New Roman"/>
          <w:sz w:val="21"/>
          <w:szCs w:val="21"/>
          <w:vertAlign w:val="superscript"/>
        </w:rPr>
        <w:t>a</w:t>
      </w:r>
      <w:r w:rsidRPr="00D71022">
        <w:rPr>
          <w:rFonts w:ascii="Times New Roman" w:hAnsi="Times New Roman" w:cs="Times New Roman"/>
          <w:sz w:val="21"/>
          <w:szCs w:val="21"/>
        </w:rPr>
        <w:t xml:space="preserve"> CSF-PET- versus CSF+PET- subjects, </w:t>
      </w:r>
      <w:r w:rsidRPr="00D71022">
        <w:rPr>
          <w:rFonts w:ascii="Times New Roman" w:hAnsi="Times New Roman" w:cs="Times New Roman"/>
          <w:sz w:val="21"/>
          <w:szCs w:val="21"/>
          <w:vertAlign w:val="superscript"/>
        </w:rPr>
        <w:t>b</w:t>
      </w:r>
      <w:r w:rsidRPr="00D71022">
        <w:rPr>
          <w:rFonts w:ascii="Times New Roman" w:hAnsi="Times New Roman" w:cs="Times New Roman"/>
          <w:sz w:val="21"/>
          <w:szCs w:val="21"/>
        </w:rPr>
        <w:t xml:space="preserve"> CSF-PET- versus CSF+PET+ subjects, and </w:t>
      </w:r>
      <w:r w:rsidRPr="00D71022">
        <w:rPr>
          <w:rFonts w:ascii="Times New Roman" w:hAnsi="Times New Roman" w:cs="Times New Roman"/>
          <w:sz w:val="21"/>
          <w:szCs w:val="21"/>
          <w:vertAlign w:val="superscript"/>
        </w:rPr>
        <w:t>c</w:t>
      </w:r>
      <w:r w:rsidRPr="00D71022">
        <w:rPr>
          <w:rFonts w:ascii="Times New Roman" w:hAnsi="Times New Roman" w:cs="Times New Roman"/>
          <w:sz w:val="21"/>
          <w:szCs w:val="21"/>
        </w:rPr>
        <w:t xml:space="preserve"> CSF+PET- versus CSF+PET+ subjects.</w:t>
      </w:r>
    </w:p>
    <w:p w14:paraId="009B81BE" w14:textId="3FBEA7C5" w:rsidR="0016394C" w:rsidRPr="00D71022" w:rsidRDefault="00D71022" w:rsidP="0016394C">
      <w:pPr>
        <w:shd w:val="clear" w:color="auto" w:fill="FFFFFF"/>
        <w:spacing w:beforeLines="50" w:before="156" w:afterLines="50" w:after="156" w:line="360" w:lineRule="auto"/>
        <w:rPr>
          <w:rFonts w:ascii="Times New Roman" w:hAnsi="Times New Roman" w:cs="Times New Roman"/>
          <w:sz w:val="21"/>
          <w:szCs w:val="21"/>
        </w:rPr>
      </w:pPr>
      <w:bookmarkStart w:id="8" w:name="_Hlk165302225"/>
      <w:r>
        <w:rPr>
          <w:rFonts w:ascii="Times New Roman" w:hAnsi="Times New Roman" w:cs="Times New Roman"/>
          <w:sz w:val="21"/>
          <w:szCs w:val="21"/>
        </w:rPr>
        <w:t>APOE</w:t>
      </w:r>
      <w:r w:rsidR="0016394C" w:rsidRPr="00D71022">
        <w:rPr>
          <w:rFonts w:ascii="Times New Roman" w:hAnsi="Times New Roman" w:cs="Times New Roman"/>
          <w:sz w:val="21"/>
          <w:szCs w:val="21"/>
        </w:rPr>
        <w:t>: Apolipoprotein E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="0016394C" w:rsidRPr="00D71022">
        <w:rPr>
          <w:rFonts w:ascii="Times New Roman" w:hAnsi="Times New Roman" w:cs="Times New Roman"/>
          <w:sz w:val="21"/>
          <w:szCs w:val="21"/>
        </w:rPr>
        <w:t xml:space="preserve"> CHI3L1: Chitinase-3-like protein 1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bookmarkEnd w:id="8"/>
      <w:r w:rsidR="0016394C" w:rsidRPr="00D71022">
        <w:rPr>
          <w:rFonts w:ascii="Times New Roman" w:hAnsi="Times New Roman" w:cs="Times New Roman"/>
          <w:sz w:val="21"/>
          <w:szCs w:val="21"/>
        </w:rPr>
        <w:t xml:space="preserve"> CSF-PET-: CSF-Aβ negative and Aβ-PET negative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="0016394C" w:rsidRPr="00D71022">
        <w:rPr>
          <w:rFonts w:ascii="Times New Roman" w:hAnsi="Times New Roman" w:cs="Times New Roman"/>
          <w:sz w:val="21"/>
          <w:szCs w:val="21"/>
        </w:rPr>
        <w:t xml:space="preserve"> CSF+PET-: CSF-Aβ positive and Aβ-PET negative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="0016394C" w:rsidRPr="00D71022">
        <w:rPr>
          <w:rFonts w:ascii="Times New Roman" w:hAnsi="Times New Roman" w:cs="Times New Roman"/>
          <w:sz w:val="21"/>
          <w:szCs w:val="21"/>
        </w:rPr>
        <w:t xml:space="preserve"> CSF+PET</w:t>
      </w:r>
      <w:r w:rsidR="00B22A98">
        <w:rPr>
          <w:rFonts w:ascii="Times New Roman" w:hAnsi="Times New Roman" w:cs="Times New Roman" w:hint="eastAsia"/>
          <w:sz w:val="21"/>
          <w:szCs w:val="21"/>
        </w:rPr>
        <w:t>+</w:t>
      </w:r>
      <w:r w:rsidR="0016394C" w:rsidRPr="00D71022">
        <w:rPr>
          <w:rFonts w:ascii="Times New Roman" w:hAnsi="Times New Roman" w:cs="Times New Roman"/>
          <w:sz w:val="21"/>
          <w:szCs w:val="21"/>
        </w:rPr>
        <w:t>: CSF-Aβ positive and Aβ-PET positive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="0016394C" w:rsidRPr="00D71022">
        <w:rPr>
          <w:rFonts w:ascii="Times New Roman" w:hAnsi="Times New Roman" w:cs="Times New Roman"/>
          <w:sz w:val="21"/>
          <w:szCs w:val="21"/>
        </w:rPr>
        <w:t xml:space="preserve"> MMSE: Mini-Mental State Examination, mPACC</w:t>
      </w:r>
      <w:r w:rsidR="0016394C" w:rsidRPr="00D71022">
        <w:rPr>
          <w:rFonts w:ascii="Times New Roman" w:hAnsi="Times New Roman" w:cs="Times New Roman"/>
          <w:sz w:val="21"/>
          <w:szCs w:val="21"/>
          <w:vertAlign w:val="subscript"/>
        </w:rPr>
        <w:t>digit</w:t>
      </w:r>
      <w:r w:rsidR="0016394C" w:rsidRPr="00D71022">
        <w:rPr>
          <w:rFonts w:ascii="Times New Roman" w:hAnsi="Times New Roman" w:cs="Times New Roman"/>
          <w:sz w:val="21"/>
          <w:szCs w:val="21"/>
        </w:rPr>
        <w:t>: Modified Preclinical Alzheimer Cognitive Composite incorporating the Digit Symbol Substitution Test, mPACC</w:t>
      </w:r>
      <w:r w:rsidR="0016394C" w:rsidRPr="00D71022">
        <w:rPr>
          <w:rFonts w:ascii="Times New Roman" w:hAnsi="Times New Roman" w:cs="Times New Roman"/>
          <w:sz w:val="21"/>
          <w:szCs w:val="21"/>
          <w:vertAlign w:val="subscript"/>
        </w:rPr>
        <w:t>trailsB</w:t>
      </w:r>
      <w:r w:rsidR="0016394C" w:rsidRPr="00D71022">
        <w:rPr>
          <w:rFonts w:ascii="Times New Roman" w:hAnsi="Times New Roman" w:cs="Times New Roman"/>
          <w:sz w:val="21"/>
          <w:szCs w:val="21"/>
        </w:rPr>
        <w:t>: Modified Preclinical Alzheimer Cognitive Composite incorporating the Trail-Making Test Part B</w:t>
      </w:r>
      <w:r w:rsidR="009512DB" w:rsidRPr="00D71022">
        <w:rPr>
          <w:rFonts w:ascii="Times New Roman" w:hAnsi="Times New Roman" w:cs="Times New Roman"/>
          <w:sz w:val="21"/>
          <w:szCs w:val="21"/>
        </w:rPr>
        <w:t>,</w:t>
      </w:r>
      <w:r w:rsidR="0016394C" w:rsidRPr="00D71022">
        <w:rPr>
          <w:rFonts w:ascii="Times New Roman" w:hAnsi="Times New Roman" w:cs="Times New Roman"/>
          <w:sz w:val="21"/>
          <w:szCs w:val="21"/>
        </w:rPr>
        <w:t xml:space="preserve"> SMOC1: SPARC-related modular calcium binding 1.</w:t>
      </w:r>
    </w:p>
    <w:p w14:paraId="118082EF" w14:textId="5AF32541" w:rsidR="009E26FB" w:rsidRPr="00D71022" w:rsidRDefault="009E26FB" w:rsidP="0016394C">
      <w:pPr>
        <w:shd w:val="clear" w:color="auto" w:fill="FFFFFF"/>
        <w:spacing w:beforeLines="50" w:before="156" w:afterLines="50" w:after="156" w:line="360" w:lineRule="auto"/>
        <w:rPr>
          <w:rFonts w:ascii="Times New Roman" w:hAnsi="Times New Roman" w:cs="Times New Roman"/>
          <w:sz w:val="21"/>
          <w:szCs w:val="21"/>
        </w:rPr>
      </w:pPr>
    </w:p>
    <w:p w14:paraId="46195F86" w14:textId="4ACA43BC" w:rsidR="009E26FB" w:rsidRPr="00D71022" w:rsidRDefault="009E26FB" w:rsidP="009E26FB">
      <w:pPr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br w:type="page"/>
      </w:r>
    </w:p>
    <w:p w14:paraId="52B118ED" w14:textId="628D3B97" w:rsidR="009512DB" w:rsidRPr="00017C34" w:rsidRDefault="009512DB" w:rsidP="000F0996">
      <w:pPr>
        <w:pStyle w:val="1"/>
        <w:spacing w:line="360" w:lineRule="auto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9" w:name="_Hlk165302662"/>
      <w:r w:rsidRPr="00017C34">
        <w:rPr>
          <w:rFonts w:ascii="Times New Roman" w:hAnsi="Times New Roman" w:cs="Times New Roman"/>
          <w:sz w:val="21"/>
          <w:szCs w:val="21"/>
        </w:rPr>
        <w:lastRenderedPageBreak/>
        <w:t xml:space="preserve">Supplementary Table 3 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Associations </w:t>
      </w:r>
      <w:r w:rsidR="00703F71">
        <w:rPr>
          <w:rFonts w:ascii="Times New Roman" w:hAnsi="Times New Roman" w:cs="Times New Roman" w:hint="eastAsia"/>
          <w:b w:val="0"/>
          <w:bCs w:val="0"/>
          <w:sz w:val="21"/>
          <w:szCs w:val="21"/>
        </w:rPr>
        <w:t>B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etween the CSF </w:t>
      </w:r>
      <w:r w:rsidR="00D71022"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Candidate 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>Hub Proteins and Longitudinal Cognitive Changes as well as SUVRs Alterations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590"/>
        <w:gridCol w:w="2218"/>
        <w:gridCol w:w="848"/>
        <w:gridCol w:w="848"/>
        <w:gridCol w:w="848"/>
      </w:tblGrid>
      <w:tr w:rsidR="008415CD" w:rsidRPr="00D71022" w14:paraId="76D51814" w14:textId="77777777" w:rsidTr="009E26FB">
        <w:trPr>
          <w:trHeight w:val="280"/>
        </w:trPr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CF6174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Group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7E8D49F" w14:textId="6EB49C77" w:rsidR="008415CD" w:rsidRPr="00D71022" w:rsidRDefault="00B22A98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ependent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V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ariable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A317DC1" w14:textId="6853A3E8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Interactions </w:t>
            </w:r>
            <w:r w:rsidR="00703F71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etween CSF Proteins and </w:t>
            </w:r>
            <w:bookmarkStart w:id="10" w:name="_Hlk166458498"/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  <w:bookmarkEnd w:id="10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7B20C1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β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4877472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S.E.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B8B374C" w14:textId="143566CB" w:rsidR="008415CD" w:rsidRPr="00D71022" w:rsidRDefault="009E26FB" w:rsidP="00951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8415CD" w:rsidRPr="00D71022" w14:paraId="70B202DE" w14:textId="77777777" w:rsidTr="009E26FB">
        <w:trPr>
          <w:trHeight w:val="280"/>
        </w:trPr>
        <w:tc>
          <w:tcPr>
            <w:tcW w:w="1954" w:type="dxa"/>
            <w:tcBorders>
              <w:top w:val="single" w:sz="12" w:space="0" w:color="auto"/>
            </w:tcBorders>
            <w:noWrap/>
            <w:hideMark/>
          </w:tcPr>
          <w:p w14:paraId="68099D51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noWrap/>
            <w:hideMark/>
          </w:tcPr>
          <w:p w14:paraId="53E5158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noWrap/>
            <w:hideMark/>
          </w:tcPr>
          <w:p w14:paraId="167895FF" w14:textId="5EC91B10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noWrap/>
            <w:hideMark/>
          </w:tcPr>
          <w:p w14:paraId="2B1F0DF6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-0.15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noWrap/>
            <w:hideMark/>
          </w:tcPr>
          <w:p w14:paraId="6167644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noWrap/>
            <w:hideMark/>
          </w:tcPr>
          <w:p w14:paraId="567F677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0.12</w:t>
            </w:r>
          </w:p>
        </w:tc>
      </w:tr>
      <w:tr w:rsidR="008415CD" w:rsidRPr="00D71022" w14:paraId="78C9B13D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78250464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3F26795F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18" w:type="dxa"/>
            <w:noWrap/>
            <w:hideMark/>
          </w:tcPr>
          <w:p w14:paraId="420B13E5" w14:textId="3D1E2B7F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noWrap/>
            <w:hideMark/>
          </w:tcPr>
          <w:p w14:paraId="3E06FEA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-0.12</w:t>
            </w:r>
          </w:p>
        </w:tc>
        <w:tc>
          <w:tcPr>
            <w:tcW w:w="848" w:type="dxa"/>
            <w:noWrap/>
            <w:hideMark/>
          </w:tcPr>
          <w:p w14:paraId="2D631013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848" w:type="dxa"/>
            <w:noWrap/>
            <w:hideMark/>
          </w:tcPr>
          <w:p w14:paraId="4C6C7B7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0.19</w:t>
            </w:r>
          </w:p>
        </w:tc>
      </w:tr>
      <w:tr w:rsidR="008415CD" w:rsidRPr="00D71022" w14:paraId="4E17F2D7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6CA15AA8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051FD5A6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18" w:type="dxa"/>
            <w:noWrap/>
            <w:hideMark/>
          </w:tcPr>
          <w:p w14:paraId="3153E319" w14:textId="0673E154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noWrap/>
            <w:hideMark/>
          </w:tcPr>
          <w:p w14:paraId="7A3C0CD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-0.10</w:t>
            </w:r>
          </w:p>
        </w:tc>
        <w:tc>
          <w:tcPr>
            <w:tcW w:w="848" w:type="dxa"/>
            <w:noWrap/>
            <w:hideMark/>
          </w:tcPr>
          <w:p w14:paraId="6CC5C7B5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848" w:type="dxa"/>
            <w:noWrap/>
            <w:hideMark/>
          </w:tcPr>
          <w:p w14:paraId="7A8B53B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0.24</w:t>
            </w:r>
          </w:p>
        </w:tc>
      </w:tr>
      <w:tr w:rsidR="008415CD" w:rsidRPr="00D71022" w14:paraId="43F5AF5F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07CC0E15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3A44E54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SUVRs</w:t>
            </w:r>
          </w:p>
        </w:tc>
        <w:tc>
          <w:tcPr>
            <w:tcW w:w="2218" w:type="dxa"/>
            <w:noWrap/>
            <w:hideMark/>
          </w:tcPr>
          <w:p w14:paraId="001D216D" w14:textId="2F17E98E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noWrap/>
            <w:hideMark/>
          </w:tcPr>
          <w:p w14:paraId="78980865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7B86F49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48" w:type="dxa"/>
            <w:noWrap/>
            <w:hideMark/>
          </w:tcPr>
          <w:p w14:paraId="036139DE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0.52</w:t>
            </w:r>
          </w:p>
        </w:tc>
      </w:tr>
      <w:tr w:rsidR="008415CD" w:rsidRPr="00D71022" w14:paraId="395A84CD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4355B26B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49AA83B8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18" w:type="dxa"/>
            <w:noWrap/>
            <w:hideMark/>
          </w:tcPr>
          <w:p w14:paraId="2D8C034F" w14:textId="5B04BAF4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6F67C2E4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-0.02</w:t>
            </w:r>
          </w:p>
        </w:tc>
        <w:tc>
          <w:tcPr>
            <w:tcW w:w="848" w:type="dxa"/>
            <w:noWrap/>
            <w:hideMark/>
          </w:tcPr>
          <w:p w14:paraId="7AAC92D2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49897501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0.39</w:t>
            </w:r>
          </w:p>
        </w:tc>
      </w:tr>
      <w:tr w:rsidR="008415CD" w:rsidRPr="00D71022" w14:paraId="7D2C3EFA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60A5735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46473D74" w14:textId="059765FE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18" w:type="dxa"/>
            <w:noWrap/>
            <w:hideMark/>
          </w:tcPr>
          <w:p w14:paraId="360D6B59" w14:textId="5F851C8C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3BDC17D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48" w:type="dxa"/>
            <w:noWrap/>
            <w:hideMark/>
          </w:tcPr>
          <w:p w14:paraId="058C4DA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728BEDB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0.19</w:t>
            </w:r>
          </w:p>
        </w:tc>
      </w:tr>
      <w:tr w:rsidR="008415CD" w:rsidRPr="00D71022" w14:paraId="4E16DF80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2578FC6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2D78A1F6" w14:textId="09B6BE88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18" w:type="dxa"/>
            <w:noWrap/>
            <w:hideMark/>
          </w:tcPr>
          <w:p w14:paraId="07EA3555" w14:textId="10A51502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3F0CC4F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-0.02</w:t>
            </w:r>
          </w:p>
        </w:tc>
        <w:tc>
          <w:tcPr>
            <w:tcW w:w="848" w:type="dxa"/>
            <w:noWrap/>
            <w:hideMark/>
          </w:tcPr>
          <w:p w14:paraId="67EDDFD8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2BB15BAE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0.17</w:t>
            </w:r>
          </w:p>
        </w:tc>
      </w:tr>
      <w:tr w:rsidR="008415CD" w:rsidRPr="00D71022" w14:paraId="3EC698C6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5E8921AB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4DDD73B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SUVRs</w:t>
            </w:r>
          </w:p>
        </w:tc>
        <w:tc>
          <w:tcPr>
            <w:tcW w:w="2218" w:type="dxa"/>
            <w:noWrap/>
            <w:hideMark/>
          </w:tcPr>
          <w:p w14:paraId="43ADF29A" w14:textId="2823A1A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0340C8B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  <w:tc>
          <w:tcPr>
            <w:tcW w:w="848" w:type="dxa"/>
            <w:noWrap/>
            <w:hideMark/>
          </w:tcPr>
          <w:p w14:paraId="676145AF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48" w:type="dxa"/>
            <w:noWrap/>
            <w:hideMark/>
          </w:tcPr>
          <w:p w14:paraId="19BB3AA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0.92</w:t>
            </w:r>
          </w:p>
        </w:tc>
      </w:tr>
      <w:tr w:rsidR="008415CD" w:rsidRPr="00D71022" w14:paraId="49E31470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63DFB7E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189FCA54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18" w:type="dxa"/>
            <w:noWrap/>
            <w:hideMark/>
          </w:tcPr>
          <w:p w14:paraId="4521BA14" w14:textId="79FD58C9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39EC68A2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3D76E0C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1498EDAF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0.50</w:t>
            </w:r>
          </w:p>
        </w:tc>
      </w:tr>
      <w:tr w:rsidR="008415CD" w:rsidRPr="00D71022" w14:paraId="5FAF60B5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2793D991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6E0E5116" w14:textId="759D79CE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18" w:type="dxa"/>
            <w:noWrap/>
            <w:hideMark/>
          </w:tcPr>
          <w:p w14:paraId="3649A8C9" w14:textId="0743FE0D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42DD012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33824914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283A4D2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0.25</w:t>
            </w:r>
          </w:p>
        </w:tc>
      </w:tr>
      <w:tr w:rsidR="008415CD" w:rsidRPr="00D71022" w14:paraId="7486DD18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661DE3C8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23B85C4E" w14:textId="5DC6C42D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18" w:type="dxa"/>
            <w:noWrap/>
            <w:hideMark/>
          </w:tcPr>
          <w:p w14:paraId="72B9DE58" w14:textId="5675E2E8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5F93D725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45B185F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466D920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0.22</w:t>
            </w:r>
          </w:p>
        </w:tc>
      </w:tr>
      <w:tr w:rsidR="008415CD" w:rsidRPr="00D71022" w14:paraId="06EE4356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74DCCC6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590" w:type="dxa"/>
            <w:noWrap/>
            <w:hideMark/>
          </w:tcPr>
          <w:p w14:paraId="559AF186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SUVRs</w:t>
            </w:r>
          </w:p>
        </w:tc>
        <w:tc>
          <w:tcPr>
            <w:tcW w:w="2218" w:type="dxa"/>
            <w:noWrap/>
            <w:hideMark/>
          </w:tcPr>
          <w:p w14:paraId="343074A0" w14:textId="038EC23D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41F6FAE3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48" w:type="dxa"/>
            <w:noWrap/>
            <w:hideMark/>
          </w:tcPr>
          <w:p w14:paraId="3B03AB5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48" w:type="dxa"/>
            <w:noWrap/>
            <w:hideMark/>
          </w:tcPr>
          <w:p w14:paraId="16D1BA8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</w:tr>
      <w:tr w:rsidR="008415CD" w:rsidRPr="00D71022" w14:paraId="236CBAA0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7D99EFB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158F1A07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18" w:type="dxa"/>
            <w:noWrap/>
            <w:hideMark/>
          </w:tcPr>
          <w:p w14:paraId="2DE63578" w14:textId="7AEFC669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noWrap/>
            <w:hideMark/>
          </w:tcPr>
          <w:p w14:paraId="739DF58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-0.27</w:t>
            </w:r>
          </w:p>
        </w:tc>
        <w:tc>
          <w:tcPr>
            <w:tcW w:w="848" w:type="dxa"/>
            <w:noWrap/>
            <w:hideMark/>
          </w:tcPr>
          <w:p w14:paraId="0DE18AC6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0.27</w:t>
            </w:r>
          </w:p>
        </w:tc>
        <w:tc>
          <w:tcPr>
            <w:tcW w:w="848" w:type="dxa"/>
            <w:noWrap/>
            <w:hideMark/>
          </w:tcPr>
          <w:p w14:paraId="2095871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0.31</w:t>
            </w:r>
          </w:p>
        </w:tc>
      </w:tr>
      <w:tr w:rsidR="008415CD" w:rsidRPr="00D71022" w14:paraId="3E89F366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1D405F3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4991D20B" w14:textId="384D53F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18" w:type="dxa"/>
            <w:noWrap/>
            <w:hideMark/>
          </w:tcPr>
          <w:p w14:paraId="7A33BCA5" w14:textId="7CC936C0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noWrap/>
            <w:hideMark/>
          </w:tcPr>
          <w:p w14:paraId="2DD8FF2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-0.15</w:t>
            </w:r>
          </w:p>
        </w:tc>
        <w:tc>
          <w:tcPr>
            <w:tcW w:w="848" w:type="dxa"/>
            <w:noWrap/>
            <w:hideMark/>
          </w:tcPr>
          <w:p w14:paraId="78C2374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0.18</w:t>
            </w:r>
          </w:p>
        </w:tc>
        <w:tc>
          <w:tcPr>
            <w:tcW w:w="848" w:type="dxa"/>
            <w:noWrap/>
            <w:hideMark/>
          </w:tcPr>
          <w:p w14:paraId="4DCFF8D5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0.41</w:t>
            </w:r>
          </w:p>
        </w:tc>
      </w:tr>
      <w:tr w:rsidR="008415CD" w:rsidRPr="00D71022" w14:paraId="64A38C3C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4D4B58B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5E98057A" w14:textId="1864C53C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18" w:type="dxa"/>
            <w:noWrap/>
            <w:hideMark/>
          </w:tcPr>
          <w:p w14:paraId="091709B7" w14:textId="7BB7CD5B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noWrap/>
            <w:hideMark/>
          </w:tcPr>
          <w:p w14:paraId="53DC76A3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-0.20</w:t>
            </w:r>
          </w:p>
        </w:tc>
        <w:tc>
          <w:tcPr>
            <w:tcW w:w="848" w:type="dxa"/>
            <w:noWrap/>
            <w:hideMark/>
          </w:tcPr>
          <w:p w14:paraId="4BC03E28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0.18</w:t>
            </w:r>
          </w:p>
        </w:tc>
        <w:tc>
          <w:tcPr>
            <w:tcW w:w="848" w:type="dxa"/>
            <w:noWrap/>
            <w:hideMark/>
          </w:tcPr>
          <w:p w14:paraId="291D506F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0.28</w:t>
            </w:r>
          </w:p>
        </w:tc>
      </w:tr>
      <w:tr w:rsidR="008415CD" w:rsidRPr="00D71022" w14:paraId="3E394EB7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7147D8C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6C5505B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SUVRs</w:t>
            </w:r>
          </w:p>
        </w:tc>
        <w:tc>
          <w:tcPr>
            <w:tcW w:w="2218" w:type="dxa"/>
            <w:noWrap/>
            <w:hideMark/>
          </w:tcPr>
          <w:p w14:paraId="14CA18C7" w14:textId="2E8B4017" w:rsidR="008415CD" w:rsidRPr="00D71022" w:rsidRDefault="00D71022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APOE</w:t>
            </w:r>
            <w:r w:rsidR="008415CD" w:rsidRPr="00D71022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</w:p>
        </w:tc>
        <w:tc>
          <w:tcPr>
            <w:tcW w:w="848" w:type="dxa"/>
            <w:noWrap/>
            <w:hideMark/>
          </w:tcPr>
          <w:p w14:paraId="28253A2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48" w:type="dxa"/>
            <w:noWrap/>
            <w:hideMark/>
          </w:tcPr>
          <w:p w14:paraId="37358672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48" w:type="dxa"/>
            <w:noWrap/>
            <w:hideMark/>
          </w:tcPr>
          <w:p w14:paraId="1B73A2C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0.83</w:t>
            </w:r>
          </w:p>
        </w:tc>
      </w:tr>
      <w:tr w:rsidR="008415CD" w:rsidRPr="00D71022" w14:paraId="53E5CF36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378D9DD2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4EEC44E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18" w:type="dxa"/>
            <w:noWrap/>
            <w:hideMark/>
          </w:tcPr>
          <w:p w14:paraId="591B1912" w14:textId="29B27613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7F9D9D41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-0.24</w:t>
            </w:r>
          </w:p>
        </w:tc>
        <w:tc>
          <w:tcPr>
            <w:tcW w:w="848" w:type="dxa"/>
            <w:noWrap/>
            <w:hideMark/>
          </w:tcPr>
          <w:p w14:paraId="5CA6BF06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848" w:type="dxa"/>
            <w:noWrap/>
            <w:hideMark/>
          </w:tcPr>
          <w:p w14:paraId="03FB1F2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</w:tr>
      <w:tr w:rsidR="008415CD" w:rsidRPr="00D71022" w14:paraId="05F328DE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324B3A7C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0B0F8828" w14:textId="1381FBF6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18" w:type="dxa"/>
            <w:noWrap/>
            <w:hideMark/>
          </w:tcPr>
          <w:p w14:paraId="6DE72997" w14:textId="3E688833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5833757F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-0.11</w:t>
            </w:r>
          </w:p>
        </w:tc>
        <w:tc>
          <w:tcPr>
            <w:tcW w:w="848" w:type="dxa"/>
            <w:noWrap/>
            <w:hideMark/>
          </w:tcPr>
          <w:p w14:paraId="492F7BDA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48" w:type="dxa"/>
            <w:noWrap/>
            <w:hideMark/>
          </w:tcPr>
          <w:p w14:paraId="3DAF378E" w14:textId="4EF7C7D2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D71022">
              <w:rPr>
                <w:rFonts w:ascii="Times New Roman" w:hAnsi="Times New Roman" w:cs="Times New Roman" w:hint="eastAsia"/>
                <w:sz w:val="21"/>
                <w:szCs w:val="21"/>
              </w:rPr>
              <w:t>39</w:t>
            </w:r>
          </w:p>
        </w:tc>
      </w:tr>
      <w:tr w:rsidR="008415CD" w:rsidRPr="00D71022" w14:paraId="34514695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5C737DC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55AE014E" w14:textId="63EB9324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18" w:type="dxa"/>
            <w:noWrap/>
            <w:hideMark/>
          </w:tcPr>
          <w:p w14:paraId="0F74F364" w14:textId="4B3DE970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14AA05F1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-0.14</w:t>
            </w:r>
          </w:p>
        </w:tc>
        <w:tc>
          <w:tcPr>
            <w:tcW w:w="848" w:type="dxa"/>
            <w:noWrap/>
            <w:hideMark/>
          </w:tcPr>
          <w:p w14:paraId="59B2B462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48" w:type="dxa"/>
            <w:noWrap/>
            <w:hideMark/>
          </w:tcPr>
          <w:p w14:paraId="37BEF888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</w:tr>
      <w:tr w:rsidR="008415CD" w:rsidRPr="00D71022" w14:paraId="69BF9AC5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2D0D9F6B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7EA984D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SUVRs</w:t>
            </w:r>
          </w:p>
        </w:tc>
        <w:tc>
          <w:tcPr>
            <w:tcW w:w="2218" w:type="dxa"/>
            <w:noWrap/>
            <w:hideMark/>
          </w:tcPr>
          <w:p w14:paraId="48592190" w14:textId="21315085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CHI3L1*Time</w:t>
            </w:r>
          </w:p>
        </w:tc>
        <w:tc>
          <w:tcPr>
            <w:tcW w:w="848" w:type="dxa"/>
            <w:noWrap/>
            <w:hideMark/>
          </w:tcPr>
          <w:p w14:paraId="1E6970D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848" w:type="dxa"/>
            <w:noWrap/>
            <w:hideMark/>
          </w:tcPr>
          <w:p w14:paraId="4E1AFF03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48" w:type="dxa"/>
            <w:noWrap/>
            <w:hideMark/>
          </w:tcPr>
          <w:p w14:paraId="7CB5E92F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0.21</w:t>
            </w:r>
          </w:p>
        </w:tc>
      </w:tr>
      <w:tr w:rsidR="008415CD" w:rsidRPr="00D71022" w14:paraId="17413DE9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76A16A94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2982A90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18" w:type="dxa"/>
            <w:noWrap/>
            <w:hideMark/>
          </w:tcPr>
          <w:p w14:paraId="149A3AF2" w14:textId="7BEAC831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7BD41680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-0.16</w:t>
            </w:r>
          </w:p>
        </w:tc>
        <w:tc>
          <w:tcPr>
            <w:tcW w:w="848" w:type="dxa"/>
            <w:noWrap/>
            <w:hideMark/>
          </w:tcPr>
          <w:p w14:paraId="12701C5F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848" w:type="dxa"/>
            <w:noWrap/>
            <w:hideMark/>
          </w:tcPr>
          <w:p w14:paraId="71FD2354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</w:tr>
      <w:tr w:rsidR="008415CD" w:rsidRPr="00D71022" w14:paraId="62A81EED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3CF0D8CE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7EBA2369" w14:textId="102E2B95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18" w:type="dxa"/>
            <w:noWrap/>
            <w:hideMark/>
          </w:tcPr>
          <w:p w14:paraId="45ED6569" w14:textId="790F03BF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3F584722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-0.10</w:t>
            </w:r>
          </w:p>
        </w:tc>
        <w:tc>
          <w:tcPr>
            <w:tcW w:w="848" w:type="dxa"/>
            <w:noWrap/>
            <w:hideMark/>
          </w:tcPr>
          <w:p w14:paraId="38ADC2F6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848" w:type="dxa"/>
            <w:noWrap/>
            <w:hideMark/>
          </w:tcPr>
          <w:p w14:paraId="7D1D2883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</w:tr>
      <w:tr w:rsidR="008415CD" w:rsidRPr="00D71022" w14:paraId="3169CE85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66B75551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225101DC" w14:textId="0728CE08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18" w:type="dxa"/>
            <w:noWrap/>
            <w:hideMark/>
          </w:tcPr>
          <w:p w14:paraId="18C10AF3" w14:textId="500FB1A5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40CDBE54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-0.11</w:t>
            </w:r>
          </w:p>
        </w:tc>
        <w:tc>
          <w:tcPr>
            <w:tcW w:w="848" w:type="dxa"/>
            <w:noWrap/>
            <w:hideMark/>
          </w:tcPr>
          <w:p w14:paraId="300B833E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848" w:type="dxa"/>
            <w:noWrap/>
            <w:hideMark/>
          </w:tcPr>
          <w:p w14:paraId="44B6BC7D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</w:tr>
      <w:tr w:rsidR="008415CD" w:rsidRPr="00D71022" w14:paraId="1BB2932E" w14:textId="77777777" w:rsidTr="008415CD">
        <w:trPr>
          <w:trHeight w:val="280"/>
        </w:trPr>
        <w:tc>
          <w:tcPr>
            <w:tcW w:w="1954" w:type="dxa"/>
            <w:noWrap/>
            <w:hideMark/>
          </w:tcPr>
          <w:p w14:paraId="43248641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590" w:type="dxa"/>
            <w:noWrap/>
            <w:hideMark/>
          </w:tcPr>
          <w:p w14:paraId="6B3F3F75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SUVRs</w:t>
            </w:r>
          </w:p>
        </w:tc>
        <w:tc>
          <w:tcPr>
            <w:tcW w:w="2218" w:type="dxa"/>
            <w:noWrap/>
            <w:hideMark/>
          </w:tcPr>
          <w:p w14:paraId="74724F28" w14:textId="051ED924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SMOC1*Time</w:t>
            </w:r>
          </w:p>
        </w:tc>
        <w:tc>
          <w:tcPr>
            <w:tcW w:w="848" w:type="dxa"/>
            <w:noWrap/>
            <w:hideMark/>
          </w:tcPr>
          <w:p w14:paraId="6053A1D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848" w:type="dxa"/>
            <w:noWrap/>
            <w:hideMark/>
          </w:tcPr>
          <w:p w14:paraId="0374E677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48" w:type="dxa"/>
            <w:noWrap/>
            <w:hideMark/>
          </w:tcPr>
          <w:p w14:paraId="36BA1489" w14:textId="77777777" w:rsidR="008415CD" w:rsidRPr="00D71022" w:rsidRDefault="008415CD" w:rsidP="009512D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0.23</w:t>
            </w:r>
          </w:p>
        </w:tc>
      </w:tr>
    </w:tbl>
    <w:p w14:paraId="27C37FC8" w14:textId="387E6494" w:rsidR="009E26FB" w:rsidRPr="00D71022" w:rsidRDefault="009E26FB" w:rsidP="009512DB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t>LME models were utilized to evaluate the associations between the CSF</w:t>
      </w:r>
      <w:r w:rsidR="00D71022" w:rsidRPr="00D71022">
        <w:rPr>
          <w:rFonts w:ascii="Times New Roman" w:hAnsi="Times New Roman" w:cs="Times New Roman"/>
        </w:rPr>
        <w:t xml:space="preserve"> </w:t>
      </w:r>
      <w:r w:rsidR="00B22A98">
        <w:rPr>
          <w:rFonts w:ascii="Times New Roman" w:hAnsi="Times New Roman" w:cs="Times New Roman" w:hint="eastAsia"/>
          <w:sz w:val="21"/>
          <w:szCs w:val="21"/>
        </w:rPr>
        <w:t>c</w:t>
      </w:r>
      <w:r w:rsidR="00D71022" w:rsidRPr="00D71022">
        <w:rPr>
          <w:rFonts w:ascii="Times New Roman" w:hAnsi="Times New Roman" w:cs="Times New Roman"/>
          <w:sz w:val="21"/>
          <w:szCs w:val="21"/>
        </w:rPr>
        <w:t>andidate</w:t>
      </w:r>
      <w:r w:rsidR="009512DB" w:rsidRPr="00D71022">
        <w:rPr>
          <w:rFonts w:ascii="Times New Roman" w:hAnsi="Times New Roman" w:cs="Times New Roman"/>
          <w:sz w:val="21"/>
          <w:szCs w:val="21"/>
        </w:rPr>
        <w:t xml:space="preserve"> </w:t>
      </w:r>
      <w:r w:rsidR="00B22A98">
        <w:rPr>
          <w:rFonts w:ascii="Times New Roman" w:hAnsi="Times New Roman" w:cs="Times New Roman" w:hint="eastAsia"/>
          <w:sz w:val="21"/>
          <w:szCs w:val="21"/>
        </w:rPr>
        <w:t>h</w:t>
      </w:r>
      <w:r w:rsidR="009512DB" w:rsidRPr="00D71022">
        <w:rPr>
          <w:rFonts w:ascii="Times New Roman" w:hAnsi="Times New Roman" w:cs="Times New Roman"/>
          <w:sz w:val="21"/>
          <w:szCs w:val="21"/>
        </w:rPr>
        <w:t>ub</w:t>
      </w:r>
      <w:r w:rsidRPr="00D71022">
        <w:rPr>
          <w:rFonts w:ascii="Times New Roman" w:hAnsi="Times New Roman" w:cs="Times New Roman"/>
          <w:sz w:val="21"/>
          <w:szCs w:val="21"/>
        </w:rPr>
        <w:t xml:space="preserve"> proteins and longitudinal cognitive changes as well as </w:t>
      </w:r>
      <w:r w:rsidR="009512DB" w:rsidRPr="00D71022">
        <w:rPr>
          <w:rFonts w:ascii="Times New Roman" w:hAnsi="Times New Roman" w:cs="Times New Roman"/>
          <w:sz w:val="21"/>
          <w:szCs w:val="21"/>
        </w:rPr>
        <w:t xml:space="preserve">SUVRs alterations </w:t>
      </w:r>
      <w:r w:rsidRPr="00D71022">
        <w:rPr>
          <w:rFonts w:ascii="Times New Roman" w:hAnsi="Times New Roman" w:cs="Times New Roman"/>
          <w:sz w:val="21"/>
          <w:szCs w:val="21"/>
        </w:rPr>
        <w:t xml:space="preserve">in the </w:t>
      </w:r>
      <w:r w:rsidR="009512DB" w:rsidRPr="00D71022">
        <w:rPr>
          <w:rFonts w:ascii="Times New Roman" w:hAnsi="Times New Roman" w:cs="Times New Roman"/>
          <w:sz w:val="21"/>
          <w:szCs w:val="21"/>
        </w:rPr>
        <w:t>Aβ-PET negative and positive</w:t>
      </w:r>
      <w:r w:rsidRPr="00D71022">
        <w:rPr>
          <w:rFonts w:ascii="Times New Roman" w:hAnsi="Times New Roman" w:cs="Times New Roman"/>
          <w:sz w:val="21"/>
          <w:szCs w:val="21"/>
        </w:rPr>
        <w:t xml:space="preserve"> groups. Statistics were from the LME model of each analyte, including follow-up time, age, gender, APOE ε4 carrying status, years of education, baseline CSF </w:t>
      </w:r>
      <w:r w:rsidR="00D71022" w:rsidRPr="00D71022">
        <w:rPr>
          <w:rFonts w:ascii="Times New Roman" w:hAnsi="Times New Roman" w:cs="Times New Roman"/>
          <w:sz w:val="21"/>
          <w:szCs w:val="21"/>
        </w:rPr>
        <w:t xml:space="preserve">protein </w:t>
      </w:r>
      <w:r w:rsidRPr="00D71022">
        <w:rPr>
          <w:rFonts w:ascii="Times New Roman" w:hAnsi="Times New Roman" w:cs="Times New Roman"/>
          <w:sz w:val="21"/>
          <w:szCs w:val="21"/>
        </w:rPr>
        <w:t xml:space="preserve">level, and the interactions of each variable with follow-up time as covariates. The </w:t>
      </w:r>
      <w:r w:rsidR="00374C62" w:rsidRPr="00D71022">
        <w:rPr>
          <w:rFonts w:ascii="Times New Roman" w:hAnsi="Times New Roman" w:cs="Times New Roman"/>
          <w:sz w:val="21"/>
          <w:szCs w:val="21"/>
        </w:rPr>
        <w:t>CSF proteins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r w:rsidR="005E4A65" w:rsidRPr="00D71022">
        <w:rPr>
          <w:rFonts w:ascii="Times New Roman" w:hAnsi="Times New Roman" w:cs="Times New Roman"/>
          <w:sz w:val="21"/>
          <w:szCs w:val="21"/>
        </w:rPr>
        <w:t>were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r w:rsidR="00374C62" w:rsidRPr="00D71022">
        <w:rPr>
          <w:rFonts w:ascii="Times New Roman" w:hAnsi="Times New Roman" w:cs="Times New Roman"/>
          <w:sz w:val="21"/>
          <w:szCs w:val="21"/>
        </w:rPr>
        <w:t xml:space="preserve">log-transformed and </w:t>
      </w:r>
      <w:r w:rsidRPr="00D71022">
        <w:rPr>
          <w:rFonts w:ascii="Times New Roman" w:hAnsi="Times New Roman" w:cs="Times New Roman"/>
          <w:sz w:val="21"/>
          <w:szCs w:val="21"/>
        </w:rPr>
        <w:t xml:space="preserve">standardized (z-scored). All other continuous variables were also z-scored. </w:t>
      </w:r>
      <w:r w:rsidR="00374C62" w:rsidRPr="00D71022">
        <w:rPr>
          <w:rFonts w:ascii="Times New Roman" w:hAnsi="Times New Roman" w:cs="Times New Roman"/>
          <w:sz w:val="21"/>
          <w:szCs w:val="21"/>
        </w:rPr>
        <w:t xml:space="preserve">For exploratory investigations, we refrained from conducting </w:t>
      </w:r>
      <w:r w:rsidR="00374C62" w:rsidRPr="00D71022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="00374C62" w:rsidRPr="00D71022">
        <w:rPr>
          <w:rFonts w:ascii="Times New Roman" w:hAnsi="Times New Roman" w:cs="Times New Roman"/>
          <w:sz w:val="21"/>
          <w:szCs w:val="21"/>
        </w:rPr>
        <w:t>-value correction.</w:t>
      </w:r>
    </w:p>
    <w:p w14:paraId="45DC91F6" w14:textId="60B55389" w:rsidR="007E03C0" w:rsidRPr="00D71022" w:rsidRDefault="00D71022" w:rsidP="009512DB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APOE</w:t>
      </w:r>
      <w:r w:rsidR="009512DB" w:rsidRPr="00D71022">
        <w:rPr>
          <w:rFonts w:ascii="Times New Roman" w:hAnsi="Times New Roman" w:cs="Times New Roman"/>
          <w:sz w:val="21"/>
          <w:szCs w:val="21"/>
        </w:rPr>
        <w:t xml:space="preserve">: Apolipoprotein E, CHI3L1: Chitinase-3-like protein 1, </w:t>
      </w:r>
      <w:r w:rsidR="009E26FB" w:rsidRPr="00D71022">
        <w:rPr>
          <w:rFonts w:ascii="Times New Roman" w:hAnsi="Times New Roman" w:cs="Times New Roman"/>
          <w:sz w:val="21"/>
          <w:szCs w:val="21"/>
        </w:rPr>
        <w:t>MMSE: Mini-Mental State Examination, mPACC</w:t>
      </w:r>
      <w:r w:rsidR="009E26FB" w:rsidRPr="00D71022">
        <w:rPr>
          <w:rFonts w:ascii="Times New Roman" w:hAnsi="Times New Roman" w:cs="Times New Roman"/>
          <w:sz w:val="21"/>
          <w:szCs w:val="21"/>
          <w:vertAlign w:val="subscript"/>
        </w:rPr>
        <w:t>digit</w:t>
      </w:r>
      <w:r w:rsidR="009E26FB" w:rsidRPr="00D71022">
        <w:rPr>
          <w:rFonts w:ascii="Times New Roman" w:hAnsi="Times New Roman" w:cs="Times New Roman"/>
          <w:sz w:val="21"/>
          <w:szCs w:val="21"/>
        </w:rPr>
        <w:t>: Modified Preclinical Alzheimer Cognitive Composite that Used Digit Symbol Substitution Test, mPACC</w:t>
      </w:r>
      <w:r w:rsidR="009E26FB" w:rsidRPr="00D71022">
        <w:rPr>
          <w:rFonts w:ascii="Times New Roman" w:hAnsi="Times New Roman" w:cs="Times New Roman"/>
          <w:sz w:val="21"/>
          <w:szCs w:val="21"/>
          <w:vertAlign w:val="subscript"/>
        </w:rPr>
        <w:t>trailsB</w:t>
      </w:r>
      <w:r w:rsidR="009E26FB" w:rsidRPr="00D71022">
        <w:rPr>
          <w:rFonts w:ascii="Times New Roman" w:hAnsi="Times New Roman" w:cs="Times New Roman"/>
          <w:sz w:val="21"/>
          <w:szCs w:val="21"/>
        </w:rPr>
        <w:t>: Modified Preclinical Alzheimer Cognitive Composite that Used Trail-Making Test Part B</w:t>
      </w:r>
      <w:r w:rsidR="00374C62" w:rsidRPr="00D71022">
        <w:rPr>
          <w:rFonts w:ascii="Times New Roman" w:hAnsi="Times New Roman" w:cs="Times New Roman"/>
          <w:sz w:val="21"/>
          <w:szCs w:val="21"/>
        </w:rPr>
        <w:t xml:space="preserve">, </w:t>
      </w:r>
      <w:r w:rsidR="009512DB" w:rsidRPr="00D71022">
        <w:rPr>
          <w:rFonts w:ascii="Times New Roman" w:hAnsi="Times New Roman" w:cs="Times New Roman"/>
          <w:sz w:val="21"/>
          <w:szCs w:val="21"/>
        </w:rPr>
        <w:t xml:space="preserve">SMOC1: SPARC-related modular calcium binding 1, </w:t>
      </w:r>
      <w:r w:rsidR="00374C62" w:rsidRPr="00D71022">
        <w:rPr>
          <w:rFonts w:ascii="Times New Roman" w:hAnsi="Times New Roman" w:cs="Times New Roman"/>
          <w:sz w:val="21"/>
          <w:szCs w:val="21"/>
        </w:rPr>
        <w:t>SUVRs: FBP-PET standardized uptake value ratios.</w:t>
      </w:r>
      <w:bookmarkEnd w:id="9"/>
    </w:p>
    <w:p w14:paraId="75C9EB20" w14:textId="490E8655" w:rsidR="00D71022" w:rsidRPr="00D71022" w:rsidRDefault="00D71022" w:rsidP="009512DB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4D444FCF" w14:textId="77777777" w:rsidR="00D71022" w:rsidRPr="00D71022" w:rsidRDefault="00D71022">
      <w:pPr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br w:type="page"/>
      </w:r>
    </w:p>
    <w:p w14:paraId="7507D8A1" w14:textId="46D59E74" w:rsidR="00D71022" w:rsidRPr="00017C34" w:rsidRDefault="00D71022" w:rsidP="000F0996">
      <w:pPr>
        <w:pStyle w:val="1"/>
        <w:spacing w:line="360" w:lineRule="auto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017C34">
        <w:rPr>
          <w:rFonts w:ascii="Times New Roman" w:hAnsi="Times New Roman" w:cs="Times New Roman"/>
          <w:sz w:val="21"/>
          <w:szCs w:val="21"/>
        </w:rPr>
        <w:lastRenderedPageBreak/>
        <w:t xml:space="preserve">Supplementary Table 4 </w:t>
      </w:r>
      <w:r w:rsidRPr="00017C34">
        <w:rPr>
          <w:rFonts w:ascii="Times New Roman" w:hAnsi="Times New Roman" w:cs="Times New Roman"/>
          <w:b w:val="0"/>
          <w:bCs w:val="0"/>
          <w:sz w:val="21"/>
          <w:szCs w:val="21"/>
        </w:rPr>
        <w:t>Interactive Association of Baseline CSF Candidate Hub Proteins and Baseline Aβ42 with Longitudinal Cognitive Changes.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69"/>
        <w:gridCol w:w="2241"/>
        <w:gridCol w:w="737"/>
        <w:gridCol w:w="737"/>
        <w:gridCol w:w="737"/>
      </w:tblGrid>
      <w:tr w:rsidR="00D71022" w:rsidRPr="00D71022" w14:paraId="3F97FBAC" w14:textId="77777777" w:rsidTr="00D71022">
        <w:trPr>
          <w:trHeight w:val="290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7A2655D" w14:textId="7836EB3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Group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C176D70" w14:textId="6B87FE52" w:rsidR="00D71022" w:rsidRPr="00D71022" w:rsidRDefault="00760F03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="00D71022"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ependent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V</w:t>
            </w:r>
            <w:r w:rsidR="00D71022" w:rsidRPr="00D71022">
              <w:rPr>
                <w:rFonts w:ascii="Times New Roman" w:hAnsi="Times New Roman" w:cs="Times New Roman"/>
                <w:sz w:val="21"/>
                <w:szCs w:val="21"/>
              </w:rPr>
              <w:t>ariable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9CE348F" w14:textId="3BC1DAD0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Interactions </w:t>
            </w:r>
            <w:r w:rsidR="00703F71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etween CSF Proteins, </w:t>
            </w: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Aβ42</w:t>
            </w:r>
            <w:r w:rsidR="00B422E1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,</w:t>
            </w: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 xml:space="preserve"> and Time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6C327BE" w14:textId="53A5567F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β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7D87D09" w14:textId="196D00A2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S.E.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741BA61" w14:textId="64057C83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D71022" w:rsidRPr="00D71022" w14:paraId="016BFC49" w14:textId="77777777" w:rsidTr="00D71022">
        <w:trPr>
          <w:trHeight w:val="290"/>
        </w:trPr>
        <w:tc>
          <w:tcPr>
            <w:tcW w:w="1985" w:type="dxa"/>
            <w:tcBorders>
              <w:top w:val="single" w:sz="12" w:space="0" w:color="auto"/>
            </w:tcBorders>
            <w:noWrap/>
            <w:hideMark/>
          </w:tcPr>
          <w:p w14:paraId="449EC68F" w14:textId="6980484D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noWrap/>
            <w:hideMark/>
          </w:tcPr>
          <w:p w14:paraId="1A3423F5" w14:textId="5BF3D41C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41" w:type="dxa"/>
            <w:tcBorders>
              <w:top w:val="single" w:sz="12" w:space="0" w:color="auto"/>
            </w:tcBorders>
            <w:noWrap/>
            <w:hideMark/>
          </w:tcPr>
          <w:p w14:paraId="5D5436D5" w14:textId="2906E40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APOE</w:t>
            </w: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*Aβ42*Time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noWrap/>
            <w:hideMark/>
          </w:tcPr>
          <w:p w14:paraId="02C87880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noWrap/>
            <w:hideMark/>
          </w:tcPr>
          <w:p w14:paraId="5FC38849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noWrap/>
            <w:hideMark/>
          </w:tcPr>
          <w:p w14:paraId="6B5044CA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0.34</w:t>
            </w:r>
          </w:p>
        </w:tc>
      </w:tr>
      <w:tr w:rsidR="00D71022" w:rsidRPr="00D71022" w14:paraId="5F314D56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26BA3C96" w14:textId="55DF4D9F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51B30595" w14:textId="59E7F5AA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41" w:type="dxa"/>
            <w:noWrap/>
            <w:hideMark/>
          </w:tcPr>
          <w:p w14:paraId="5BEA0838" w14:textId="674B5BCF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APOE</w:t>
            </w: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*Aβ42*Time</w:t>
            </w:r>
          </w:p>
        </w:tc>
        <w:tc>
          <w:tcPr>
            <w:tcW w:w="737" w:type="dxa"/>
            <w:noWrap/>
            <w:hideMark/>
          </w:tcPr>
          <w:p w14:paraId="3C4A41D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0.01</w:t>
            </w:r>
          </w:p>
        </w:tc>
        <w:tc>
          <w:tcPr>
            <w:tcW w:w="737" w:type="dxa"/>
            <w:noWrap/>
            <w:hideMark/>
          </w:tcPr>
          <w:p w14:paraId="07CC5B07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  <w:tc>
          <w:tcPr>
            <w:tcW w:w="737" w:type="dxa"/>
            <w:noWrap/>
            <w:hideMark/>
          </w:tcPr>
          <w:p w14:paraId="45CCDC6E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0.61</w:t>
            </w:r>
          </w:p>
        </w:tc>
      </w:tr>
      <w:tr w:rsidR="00D71022" w:rsidRPr="00D71022" w14:paraId="3990576F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0170D33C" w14:textId="2376BD73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606442FE" w14:textId="4EA3B23D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41" w:type="dxa"/>
            <w:noWrap/>
            <w:hideMark/>
          </w:tcPr>
          <w:p w14:paraId="016AEBD6" w14:textId="1EE4C222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APOE</w:t>
            </w: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*Aβ42*Time</w:t>
            </w:r>
          </w:p>
        </w:tc>
        <w:tc>
          <w:tcPr>
            <w:tcW w:w="737" w:type="dxa"/>
            <w:noWrap/>
            <w:hideMark/>
          </w:tcPr>
          <w:p w14:paraId="7DE61C59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0.01</w:t>
            </w:r>
          </w:p>
        </w:tc>
        <w:tc>
          <w:tcPr>
            <w:tcW w:w="737" w:type="dxa"/>
            <w:noWrap/>
            <w:hideMark/>
          </w:tcPr>
          <w:p w14:paraId="7FDA7798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0.01</w:t>
            </w:r>
          </w:p>
        </w:tc>
        <w:tc>
          <w:tcPr>
            <w:tcW w:w="737" w:type="dxa"/>
            <w:noWrap/>
            <w:hideMark/>
          </w:tcPr>
          <w:p w14:paraId="7B2AF1EF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0.55</w:t>
            </w:r>
          </w:p>
        </w:tc>
      </w:tr>
      <w:tr w:rsidR="00D71022" w:rsidRPr="00D71022" w14:paraId="008B5AD9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71770FAB" w14:textId="6C19BCF0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7FA104DC" w14:textId="6DC31D64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41" w:type="dxa"/>
            <w:noWrap/>
            <w:hideMark/>
          </w:tcPr>
          <w:p w14:paraId="5F4461EF" w14:textId="41958DB4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CHI3L1*Aβ42*Time</w:t>
            </w:r>
          </w:p>
        </w:tc>
        <w:tc>
          <w:tcPr>
            <w:tcW w:w="737" w:type="dxa"/>
            <w:noWrap/>
            <w:hideMark/>
          </w:tcPr>
          <w:p w14:paraId="5D6DEAF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-0.02</w:t>
            </w:r>
          </w:p>
        </w:tc>
        <w:tc>
          <w:tcPr>
            <w:tcW w:w="737" w:type="dxa"/>
            <w:noWrap/>
            <w:hideMark/>
          </w:tcPr>
          <w:p w14:paraId="5CDBB0BD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73182689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0.34</w:t>
            </w:r>
          </w:p>
        </w:tc>
      </w:tr>
      <w:tr w:rsidR="00D71022" w:rsidRPr="00D71022" w14:paraId="4E2288A8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7D28DAB8" w14:textId="61150D2A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235BC546" w14:textId="770CBE38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41" w:type="dxa"/>
            <w:noWrap/>
            <w:hideMark/>
          </w:tcPr>
          <w:p w14:paraId="12ABDA2F" w14:textId="216A0E41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CHI3L1*Aβ42*Time</w:t>
            </w:r>
          </w:p>
        </w:tc>
        <w:tc>
          <w:tcPr>
            <w:tcW w:w="737" w:type="dxa"/>
            <w:noWrap/>
            <w:hideMark/>
          </w:tcPr>
          <w:p w14:paraId="65DE090D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-0.01</w:t>
            </w:r>
          </w:p>
        </w:tc>
        <w:tc>
          <w:tcPr>
            <w:tcW w:w="737" w:type="dxa"/>
            <w:noWrap/>
            <w:hideMark/>
          </w:tcPr>
          <w:p w14:paraId="120E189C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  <w:tc>
          <w:tcPr>
            <w:tcW w:w="737" w:type="dxa"/>
            <w:noWrap/>
            <w:hideMark/>
          </w:tcPr>
          <w:p w14:paraId="41D2C6D4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0.55</w:t>
            </w:r>
          </w:p>
        </w:tc>
      </w:tr>
      <w:tr w:rsidR="00D71022" w:rsidRPr="00D71022" w14:paraId="6F98C670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1DE1867A" w14:textId="4257F796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6FF0A9F1" w14:textId="41B5D23A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41" w:type="dxa"/>
            <w:noWrap/>
            <w:hideMark/>
          </w:tcPr>
          <w:p w14:paraId="7EB48885" w14:textId="7CB1A19C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CHI3L1*Aβ42*Time</w:t>
            </w:r>
          </w:p>
        </w:tc>
        <w:tc>
          <w:tcPr>
            <w:tcW w:w="737" w:type="dxa"/>
            <w:noWrap/>
            <w:hideMark/>
          </w:tcPr>
          <w:p w14:paraId="6EE64DD3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-0.01</w:t>
            </w:r>
          </w:p>
        </w:tc>
        <w:tc>
          <w:tcPr>
            <w:tcW w:w="737" w:type="dxa"/>
            <w:noWrap/>
            <w:hideMark/>
          </w:tcPr>
          <w:p w14:paraId="14448D11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  <w:tc>
          <w:tcPr>
            <w:tcW w:w="737" w:type="dxa"/>
            <w:noWrap/>
            <w:hideMark/>
          </w:tcPr>
          <w:p w14:paraId="24E490EE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0.62</w:t>
            </w:r>
          </w:p>
        </w:tc>
      </w:tr>
      <w:tr w:rsidR="00D71022" w:rsidRPr="00D71022" w14:paraId="308FA6EE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53019792" w14:textId="07687AD4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7F2090A1" w14:textId="2750548D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41" w:type="dxa"/>
            <w:noWrap/>
            <w:hideMark/>
          </w:tcPr>
          <w:p w14:paraId="1F597377" w14:textId="4591E13F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SMOC1*Aβ42*Time</w:t>
            </w:r>
          </w:p>
        </w:tc>
        <w:tc>
          <w:tcPr>
            <w:tcW w:w="737" w:type="dxa"/>
            <w:noWrap/>
            <w:hideMark/>
          </w:tcPr>
          <w:p w14:paraId="45AF6330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-0.01</w:t>
            </w:r>
          </w:p>
        </w:tc>
        <w:tc>
          <w:tcPr>
            <w:tcW w:w="737" w:type="dxa"/>
            <w:noWrap/>
            <w:hideMark/>
          </w:tcPr>
          <w:p w14:paraId="747D02CC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7AE14E8E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0.61</w:t>
            </w:r>
          </w:p>
        </w:tc>
      </w:tr>
      <w:tr w:rsidR="00D71022" w:rsidRPr="00D71022" w14:paraId="2A69160C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1203D05B" w14:textId="0F813ACF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375CE902" w14:textId="553BCE79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41" w:type="dxa"/>
            <w:noWrap/>
            <w:hideMark/>
          </w:tcPr>
          <w:p w14:paraId="0263C32D" w14:textId="087B063B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SMOC1*Aβ42*Time</w:t>
            </w:r>
          </w:p>
        </w:tc>
        <w:tc>
          <w:tcPr>
            <w:tcW w:w="737" w:type="dxa"/>
            <w:noWrap/>
            <w:hideMark/>
          </w:tcPr>
          <w:p w14:paraId="484359D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-0.03</w:t>
            </w:r>
          </w:p>
        </w:tc>
        <w:tc>
          <w:tcPr>
            <w:tcW w:w="737" w:type="dxa"/>
            <w:noWrap/>
            <w:hideMark/>
          </w:tcPr>
          <w:p w14:paraId="5ADA1AF8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  <w:tc>
          <w:tcPr>
            <w:tcW w:w="737" w:type="dxa"/>
            <w:noWrap/>
            <w:hideMark/>
          </w:tcPr>
          <w:p w14:paraId="7C497DB9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0.22</w:t>
            </w:r>
          </w:p>
        </w:tc>
      </w:tr>
      <w:tr w:rsidR="00D71022" w:rsidRPr="00D71022" w14:paraId="60BD7304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1C7F9D4F" w14:textId="50D229D5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negative</w:t>
            </w:r>
          </w:p>
        </w:tc>
        <w:tc>
          <w:tcPr>
            <w:tcW w:w="1469" w:type="dxa"/>
            <w:noWrap/>
            <w:hideMark/>
          </w:tcPr>
          <w:p w14:paraId="66C29618" w14:textId="54B64566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41" w:type="dxa"/>
            <w:noWrap/>
            <w:hideMark/>
          </w:tcPr>
          <w:p w14:paraId="520511FA" w14:textId="72AABED3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SMOC1*Aβ42*Time</w:t>
            </w:r>
          </w:p>
        </w:tc>
        <w:tc>
          <w:tcPr>
            <w:tcW w:w="737" w:type="dxa"/>
            <w:noWrap/>
            <w:hideMark/>
          </w:tcPr>
          <w:p w14:paraId="278F75F2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-0.02</w:t>
            </w:r>
          </w:p>
        </w:tc>
        <w:tc>
          <w:tcPr>
            <w:tcW w:w="737" w:type="dxa"/>
            <w:noWrap/>
            <w:hideMark/>
          </w:tcPr>
          <w:p w14:paraId="45AC7B63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  <w:tc>
          <w:tcPr>
            <w:tcW w:w="737" w:type="dxa"/>
            <w:noWrap/>
            <w:hideMark/>
          </w:tcPr>
          <w:p w14:paraId="050660D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0.35</w:t>
            </w:r>
          </w:p>
        </w:tc>
      </w:tr>
      <w:tr w:rsidR="00D71022" w:rsidRPr="00D71022" w14:paraId="70747085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5EF23DAA" w14:textId="42C1B656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0E347B1A" w14:textId="339A062C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41" w:type="dxa"/>
            <w:noWrap/>
            <w:hideMark/>
          </w:tcPr>
          <w:p w14:paraId="0E634DD8" w14:textId="7B9539E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APOE</w:t>
            </w: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*Aβ42*Time</w:t>
            </w:r>
          </w:p>
        </w:tc>
        <w:tc>
          <w:tcPr>
            <w:tcW w:w="737" w:type="dxa"/>
            <w:noWrap/>
            <w:hideMark/>
          </w:tcPr>
          <w:p w14:paraId="12AE1031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0.20</w:t>
            </w:r>
          </w:p>
        </w:tc>
        <w:tc>
          <w:tcPr>
            <w:tcW w:w="737" w:type="dxa"/>
            <w:noWrap/>
            <w:hideMark/>
          </w:tcPr>
          <w:p w14:paraId="3AAFEE89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0A5EC33B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0.02</w:t>
            </w:r>
          </w:p>
        </w:tc>
      </w:tr>
      <w:tr w:rsidR="00D71022" w:rsidRPr="00D71022" w14:paraId="388A176E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3E0D8019" w14:textId="7B133BA3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26F81A92" w14:textId="04995EC8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41" w:type="dxa"/>
            <w:noWrap/>
            <w:hideMark/>
          </w:tcPr>
          <w:p w14:paraId="17202490" w14:textId="46D72098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APOE</w:t>
            </w: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*Aβ42*Time</w:t>
            </w:r>
          </w:p>
        </w:tc>
        <w:tc>
          <w:tcPr>
            <w:tcW w:w="737" w:type="dxa"/>
            <w:noWrap/>
            <w:hideMark/>
          </w:tcPr>
          <w:p w14:paraId="472773C4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0.14</w:t>
            </w:r>
          </w:p>
        </w:tc>
        <w:tc>
          <w:tcPr>
            <w:tcW w:w="737" w:type="dxa"/>
            <w:noWrap/>
            <w:hideMark/>
          </w:tcPr>
          <w:p w14:paraId="4F90FCAB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083A1D7E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0.006</w:t>
            </w:r>
          </w:p>
        </w:tc>
      </w:tr>
      <w:tr w:rsidR="00D71022" w:rsidRPr="00D71022" w14:paraId="4E07F0A7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24B1BAB1" w14:textId="5DE5398D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5153E913" w14:textId="4863EE9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41" w:type="dxa"/>
            <w:noWrap/>
            <w:hideMark/>
          </w:tcPr>
          <w:p w14:paraId="1B215067" w14:textId="1443390B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APOE</w:t>
            </w: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*Aβ42*Time</w:t>
            </w:r>
          </w:p>
        </w:tc>
        <w:tc>
          <w:tcPr>
            <w:tcW w:w="737" w:type="dxa"/>
            <w:noWrap/>
            <w:hideMark/>
          </w:tcPr>
          <w:p w14:paraId="6816325E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0.15</w:t>
            </w:r>
          </w:p>
        </w:tc>
        <w:tc>
          <w:tcPr>
            <w:tcW w:w="737" w:type="dxa"/>
            <w:noWrap/>
            <w:hideMark/>
          </w:tcPr>
          <w:p w14:paraId="36972DC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60C3AE70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0.007</w:t>
            </w:r>
          </w:p>
        </w:tc>
      </w:tr>
      <w:tr w:rsidR="00D71022" w:rsidRPr="00D71022" w14:paraId="66E4849C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21A81B13" w14:textId="013313E3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49236AAA" w14:textId="6D100EC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41" w:type="dxa"/>
            <w:noWrap/>
            <w:hideMark/>
          </w:tcPr>
          <w:p w14:paraId="6EBFCF86" w14:textId="51A3E3F6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CHI3L1*Aβ42*Time</w:t>
            </w:r>
          </w:p>
        </w:tc>
        <w:tc>
          <w:tcPr>
            <w:tcW w:w="737" w:type="dxa"/>
            <w:noWrap/>
            <w:hideMark/>
          </w:tcPr>
          <w:p w14:paraId="4F894ABB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0.09</w:t>
            </w:r>
          </w:p>
        </w:tc>
        <w:tc>
          <w:tcPr>
            <w:tcW w:w="737" w:type="dxa"/>
            <w:noWrap/>
            <w:hideMark/>
          </w:tcPr>
          <w:p w14:paraId="6104B5EF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0CC46F0A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0.29</w:t>
            </w:r>
          </w:p>
        </w:tc>
      </w:tr>
      <w:tr w:rsidR="00D71022" w:rsidRPr="00D71022" w14:paraId="6B219900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67C0346E" w14:textId="3E2F2CD1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53A83F0B" w14:textId="418370A0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41" w:type="dxa"/>
            <w:noWrap/>
            <w:hideMark/>
          </w:tcPr>
          <w:p w14:paraId="78877617" w14:textId="176D368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CHI3L1*Aβ42*Time</w:t>
            </w:r>
          </w:p>
        </w:tc>
        <w:tc>
          <w:tcPr>
            <w:tcW w:w="737" w:type="dxa"/>
            <w:noWrap/>
            <w:hideMark/>
          </w:tcPr>
          <w:p w14:paraId="7FCA3C2C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0.00</w:t>
            </w:r>
          </w:p>
        </w:tc>
        <w:tc>
          <w:tcPr>
            <w:tcW w:w="737" w:type="dxa"/>
            <w:noWrap/>
            <w:hideMark/>
          </w:tcPr>
          <w:p w14:paraId="0C7372E0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440ABDD6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0.98</w:t>
            </w:r>
          </w:p>
        </w:tc>
      </w:tr>
      <w:tr w:rsidR="00D71022" w:rsidRPr="00D71022" w14:paraId="34DEF473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02F7822D" w14:textId="04DF379A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6C499E7C" w14:textId="7B2BB0DA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41" w:type="dxa"/>
            <w:noWrap/>
            <w:hideMark/>
          </w:tcPr>
          <w:p w14:paraId="5F51E658" w14:textId="53D18A92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CHI3L1*Aβ42*Time</w:t>
            </w:r>
          </w:p>
        </w:tc>
        <w:tc>
          <w:tcPr>
            <w:tcW w:w="737" w:type="dxa"/>
            <w:noWrap/>
            <w:hideMark/>
          </w:tcPr>
          <w:p w14:paraId="63FEB314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0.01</w:t>
            </w:r>
          </w:p>
        </w:tc>
        <w:tc>
          <w:tcPr>
            <w:tcW w:w="737" w:type="dxa"/>
            <w:noWrap/>
            <w:hideMark/>
          </w:tcPr>
          <w:p w14:paraId="3D2902CC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695D219A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0.88</w:t>
            </w:r>
          </w:p>
        </w:tc>
      </w:tr>
      <w:tr w:rsidR="00D71022" w:rsidRPr="00D71022" w14:paraId="631399F9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6854C202" w14:textId="6F01F53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16A3A597" w14:textId="08F082C4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MMSE</w:t>
            </w:r>
          </w:p>
        </w:tc>
        <w:tc>
          <w:tcPr>
            <w:tcW w:w="2241" w:type="dxa"/>
            <w:noWrap/>
            <w:hideMark/>
          </w:tcPr>
          <w:p w14:paraId="1F1443AF" w14:textId="28BDDF5A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SMOC1*Aβ42*Time</w:t>
            </w:r>
          </w:p>
        </w:tc>
        <w:tc>
          <w:tcPr>
            <w:tcW w:w="737" w:type="dxa"/>
            <w:noWrap/>
            <w:hideMark/>
          </w:tcPr>
          <w:p w14:paraId="6775626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1D4CA40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203D19CD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0.70</w:t>
            </w:r>
          </w:p>
        </w:tc>
      </w:tr>
      <w:tr w:rsidR="00D71022" w:rsidRPr="00D71022" w14:paraId="46CC88E8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0206D0C2" w14:textId="7A2B47A2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5A835A26" w14:textId="4D780386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digit</w:t>
            </w:r>
          </w:p>
        </w:tc>
        <w:tc>
          <w:tcPr>
            <w:tcW w:w="2241" w:type="dxa"/>
            <w:noWrap/>
            <w:hideMark/>
          </w:tcPr>
          <w:p w14:paraId="7C263C12" w14:textId="172E5125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SMOC1*Aβ42*Time</w:t>
            </w:r>
          </w:p>
        </w:tc>
        <w:tc>
          <w:tcPr>
            <w:tcW w:w="737" w:type="dxa"/>
            <w:noWrap/>
            <w:hideMark/>
          </w:tcPr>
          <w:p w14:paraId="61DB6E5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0.00</w:t>
            </w:r>
          </w:p>
        </w:tc>
        <w:tc>
          <w:tcPr>
            <w:tcW w:w="737" w:type="dxa"/>
            <w:noWrap/>
            <w:hideMark/>
          </w:tcPr>
          <w:p w14:paraId="3A248D0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2742C000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0.96</w:t>
            </w:r>
          </w:p>
        </w:tc>
      </w:tr>
      <w:tr w:rsidR="00D71022" w:rsidRPr="00D71022" w14:paraId="62DB7C6B" w14:textId="77777777" w:rsidTr="00D71022">
        <w:trPr>
          <w:trHeight w:val="290"/>
        </w:trPr>
        <w:tc>
          <w:tcPr>
            <w:tcW w:w="1985" w:type="dxa"/>
            <w:noWrap/>
            <w:hideMark/>
          </w:tcPr>
          <w:p w14:paraId="2FACFC02" w14:textId="54D7BF74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Aβ-PET positive</w:t>
            </w:r>
          </w:p>
        </w:tc>
        <w:tc>
          <w:tcPr>
            <w:tcW w:w="1469" w:type="dxa"/>
            <w:noWrap/>
            <w:hideMark/>
          </w:tcPr>
          <w:p w14:paraId="1A4C9665" w14:textId="0754C908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hAnsi="Times New Roman" w:cs="Times New Roman"/>
                <w:sz w:val="21"/>
                <w:szCs w:val="21"/>
              </w:rPr>
              <w:t>mPACC</w:t>
            </w:r>
            <w:r w:rsidRPr="00D71022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trailsB</w:t>
            </w:r>
          </w:p>
        </w:tc>
        <w:tc>
          <w:tcPr>
            <w:tcW w:w="2241" w:type="dxa"/>
            <w:noWrap/>
            <w:hideMark/>
          </w:tcPr>
          <w:p w14:paraId="073266FA" w14:textId="66EBBCEC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SMOC1*Aβ42*Time</w:t>
            </w:r>
          </w:p>
        </w:tc>
        <w:tc>
          <w:tcPr>
            <w:tcW w:w="737" w:type="dxa"/>
            <w:noWrap/>
            <w:hideMark/>
          </w:tcPr>
          <w:p w14:paraId="33A546D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-0.02</w:t>
            </w:r>
          </w:p>
        </w:tc>
        <w:tc>
          <w:tcPr>
            <w:tcW w:w="737" w:type="dxa"/>
            <w:noWrap/>
            <w:hideMark/>
          </w:tcPr>
          <w:p w14:paraId="669B3431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6B2E1B55" w14:textId="77777777" w:rsidR="00D71022" w:rsidRPr="00D71022" w:rsidRDefault="00D71022" w:rsidP="00D71022">
            <w:pPr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</w:pPr>
            <w:r w:rsidRPr="00D710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14:ligatures w14:val="standardContextual"/>
              </w:rPr>
              <w:t>0.77</w:t>
            </w:r>
          </w:p>
        </w:tc>
      </w:tr>
    </w:tbl>
    <w:p w14:paraId="5611C74E" w14:textId="3A9F9833" w:rsidR="00D71022" w:rsidRPr="00D71022" w:rsidRDefault="00D71022" w:rsidP="00D7102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t xml:space="preserve">LME models were utilized to evaluate the associations between the CSF </w:t>
      </w:r>
      <w:r w:rsidR="00B22A98">
        <w:rPr>
          <w:rFonts w:ascii="Times New Roman" w:hAnsi="Times New Roman" w:cs="Times New Roman" w:hint="eastAsia"/>
          <w:sz w:val="21"/>
          <w:szCs w:val="21"/>
        </w:rPr>
        <w:t>c</w:t>
      </w:r>
      <w:r w:rsidRPr="00D71022">
        <w:rPr>
          <w:rFonts w:ascii="Times New Roman" w:hAnsi="Times New Roman" w:cs="Times New Roman"/>
          <w:sz w:val="21"/>
          <w:szCs w:val="21"/>
        </w:rPr>
        <w:t xml:space="preserve">andidate </w:t>
      </w:r>
      <w:r w:rsidR="00B22A98">
        <w:rPr>
          <w:rFonts w:ascii="Times New Roman" w:hAnsi="Times New Roman" w:cs="Times New Roman" w:hint="eastAsia"/>
          <w:sz w:val="21"/>
          <w:szCs w:val="21"/>
        </w:rPr>
        <w:t>h</w:t>
      </w:r>
      <w:r w:rsidRPr="00D71022">
        <w:rPr>
          <w:rFonts w:ascii="Times New Roman" w:hAnsi="Times New Roman" w:cs="Times New Roman"/>
          <w:sz w:val="21"/>
          <w:szCs w:val="21"/>
        </w:rPr>
        <w:t>ub proteins and Aβ42-related longitudinal cognitive changes in the Aβ-PET negative and positive groups. Statistics were from the LME model of each analyte, including follow-up time, age, gender, APOE ε4 carrying status, years of education, baseline CSF protein level, baseline CSF Aβ42 level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D71022">
        <w:rPr>
          <w:rFonts w:ascii="Times New Roman" w:hAnsi="Times New Roman" w:cs="Times New Roman"/>
          <w:sz w:val="21"/>
          <w:szCs w:val="21"/>
        </w:rPr>
        <w:t xml:space="preserve"> and the interactions of these variables with follow-up time</w:t>
      </w:r>
      <w:r w:rsidR="00B22A98" w:rsidRPr="00D71022">
        <w:rPr>
          <w:rFonts w:ascii="Times New Roman" w:hAnsi="Times New Roman" w:cs="Times New Roman"/>
          <w:sz w:val="21"/>
          <w:szCs w:val="21"/>
        </w:rPr>
        <w:t xml:space="preserve"> as covariates</w:t>
      </w:r>
      <w:r w:rsidRPr="00D71022">
        <w:rPr>
          <w:rFonts w:ascii="Times New Roman" w:hAnsi="Times New Roman" w:cs="Times New Roman"/>
          <w:sz w:val="21"/>
          <w:szCs w:val="21"/>
        </w:rPr>
        <w:t xml:space="preserve">. Additionally, </w:t>
      </w:r>
      <w:r w:rsidR="00B22A98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D71022">
        <w:rPr>
          <w:rFonts w:ascii="Times New Roman" w:hAnsi="Times New Roman" w:cs="Times New Roman"/>
          <w:sz w:val="21"/>
          <w:szCs w:val="21"/>
        </w:rPr>
        <w:t xml:space="preserve">interaction of baseline CSF candidate </w:t>
      </w:r>
      <w:r w:rsidR="00B22A98">
        <w:rPr>
          <w:rFonts w:ascii="Times New Roman" w:hAnsi="Times New Roman" w:cs="Times New Roman" w:hint="eastAsia"/>
          <w:sz w:val="21"/>
          <w:szCs w:val="21"/>
        </w:rPr>
        <w:t xml:space="preserve">hub </w:t>
      </w:r>
      <w:r w:rsidRPr="00D71022">
        <w:rPr>
          <w:rFonts w:ascii="Times New Roman" w:hAnsi="Times New Roman" w:cs="Times New Roman"/>
          <w:sz w:val="21"/>
          <w:szCs w:val="21"/>
        </w:rPr>
        <w:t xml:space="preserve">protein levels, baseline Aβ42 levels, and follow-up time </w:t>
      </w:r>
      <w:r w:rsidR="00B22A98">
        <w:rPr>
          <w:rFonts w:ascii="Times New Roman" w:hAnsi="Times New Roman" w:cs="Times New Roman" w:hint="eastAsia"/>
          <w:sz w:val="21"/>
          <w:szCs w:val="21"/>
        </w:rPr>
        <w:t>was</w:t>
      </w:r>
      <w:r w:rsidRPr="00D7102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 xml:space="preserve">also </w:t>
      </w:r>
      <w:r w:rsidRPr="00D71022">
        <w:rPr>
          <w:rFonts w:ascii="Times New Roman" w:hAnsi="Times New Roman" w:cs="Times New Roman"/>
          <w:sz w:val="21"/>
          <w:szCs w:val="21"/>
        </w:rPr>
        <w:t xml:space="preserve">included as </w:t>
      </w:r>
      <w:r w:rsidR="00B22A98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D71022">
        <w:rPr>
          <w:rFonts w:ascii="Times New Roman" w:hAnsi="Times New Roman" w:cs="Times New Roman"/>
          <w:sz w:val="21"/>
          <w:szCs w:val="21"/>
        </w:rPr>
        <w:t xml:space="preserve">covariate in the analysis. The CSF protein levels were log-transformed and standardized (z-scored). All other continuous variables were also z-scored. For exploratory investigations, we refrained from conducting </w:t>
      </w:r>
      <w:r w:rsidRPr="00D71022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D71022">
        <w:rPr>
          <w:rFonts w:ascii="Times New Roman" w:hAnsi="Times New Roman" w:cs="Times New Roman"/>
          <w:sz w:val="21"/>
          <w:szCs w:val="21"/>
        </w:rPr>
        <w:t>-value correction.</w:t>
      </w:r>
    </w:p>
    <w:p w14:paraId="0317E2F7" w14:textId="242849F2" w:rsidR="00D71022" w:rsidRPr="00D71022" w:rsidRDefault="00D71022" w:rsidP="00D7102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71022">
        <w:rPr>
          <w:rFonts w:ascii="Times New Roman" w:hAnsi="Times New Roman" w:cs="Times New Roman"/>
          <w:sz w:val="21"/>
          <w:szCs w:val="21"/>
        </w:rPr>
        <w:lastRenderedPageBreak/>
        <w:t>APOE: Apolipoprotein E, CHI3L1: Chitinase-3-like protein 1, MMSE: Mini-Mental State Examination, mPACC</w:t>
      </w:r>
      <w:r w:rsidRPr="00D71022">
        <w:rPr>
          <w:rFonts w:ascii="Times New Roman" w:hAnsi="Times New Roman" w:cs="Times New Roman"/>
          <w:sz w:val="21"/>
          <w:szCs w:val="21"/>
          <w:vertAlign w:val="subscript"/>
        </w:rPr>
        <w:t>digit</w:t>
      </w:r>
      <w:r w:rsidRPr="00D71022">
        <w:rPr>
          <w:rFonts w:ascii="Times New Roman" w:hAnsi="Times New Roman" w:cs="Times New Roman"/>
          <w:sz w:val="21"/>
          <w:szCs w:val="21"/>
        </w:rPr>
        <w:t>: Modified Preclinical Alzheimer Cognitive Composite that Used Digit Symbol Substitution Test, mPACC</w:t>
      </w:r>
      <w:r w:rsidRPr="00D71022">
        <w:rPr>
          <w:rFonts w:ascii="Times New Roman" w:hAnsi="Times New Roman" w:cs="Times New Roman"/>
          <w:sz w:val="21"/>
          <w:szCs w:val="21"/>
          <w:vertAlign w:val="subscript"/>
        </w:rPr>
        <w:t>trailsB</w:t>
      </w:r>
      <w:r w:rsidRPr="00D71022">
        <w:rPr>
          <w:rFonts w:ascii="Times New Roman" w:hAnsi="Times New Roman" w:cs="Times New Roman"/>
          <w:sz w:val="21"/>
          <w:szCs w:val="21"/>
        </w:rPr>
        <w:t>: Modified Preclinical Alzheimer Cognitive Composite that Used Trail-Making Test Part B, SMOC1: SPARC-related modular calcium binding 1, SUVRs: FBP-PET standardized uptake value ratios.</w:t>
      </w:r>
    </w:p>
    <w:p w14:paraId="18F6B3F5" w14:textId="77777777" w:rsidR="00D71022" w:rsidRPr="00D71022" w:rsidRDefault="00D71022" w:rsidP="009512DB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sectPr w:rsidR="00D71022" w:rsidRPr="00D7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5F86C" w14:textId="77777777" w:rsidR="0007574F" w:rsidRDefault="0007574F" w:rsidP="00853085">
      <w:r>
        <w:separator/>
      </w:r>
    </w:p>
  </w:endnote>
  <w:endnote w:type="continuationSeparator" w:id="0">
    <w:p w14:paraId="11AE8DEB" w14:textId="77777777" w:rsidR="0007574F" w:rsidRDefault="0007574F" w:rsidP="008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1DA1" w14:textId="77777777" w:rsidR="0007574F" w:rsidRDefault="0007574F" w:rsidP="00853085">
      <w:r>
        <w:separator/>
      </w:r>
    </w:p>
  </w:footnote>
  <w:footnote w:type="continuationSeparator" w:id="0">
    <w:p w14:paraId="1BC38D37" w14:textId="77777777" w:rsidR="0007574F" w:rsidRDefault="0007574F" w:rsidP="0085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4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91"/>
    <w:rsid w:val="00017C34"/>
    <w:rsid w:val="00051195"/>
    <w:rsid w:val="00072140"/>
    <w:rsid w:val="0007574F"/>
    <w:rsid w:val="00077B3E"/>
    <w:rsid w:val="0009213E"/>
    <w:rsid w:val="000A65EF"/>
    <w:rsid w:val="000F0996"/>
    <w:rsid w:val="00154691"/>
    <w:rsid w:val="0016394C"/>
    <w:rsid w:val="001F1EC6"/>
    <w:rsid w:val="00206351"/>
    <w:rsid w:val="002157C0"/>
    <w:rsid w:val="002471C2"/>
    <w:rsid w:val="002502D5"/>
    <w:rsid w:val="0026239F"/>
    <w:rsid w:val="002A2713"/>
    <w:rsid w:val="002A2B2B"/>
    <w:rsid w:val="003369D9"/>
    <w:rsid w:val="00353DE4"/>
    <w:rsid w:val="00374C62"/>
    <w:rsid w:val="0039042C"/>
    <w:rsid w:val="00470C80"/>
    <w:rsid w:val="00482A50"/>
    <w:rsid w:val="004E3192"/>
    <w:rsid w:val="004E3755"/>
    <w:rsid w:val="005364B8"/>
    <w:rsid w:val="00551C43"/>
    <w:rsid w:val="0057366F"/>
    <w:rsid w:val="00596929"/>
    <w:rsid w:val="005E4A65"/>
    <w:rsid w:val="00623E56"/>
    <w:rsid w:val="00660322"/>
    <w:rsid w:val="006F57B4"/>
    <w:rsid w:val="00703F71"/>
    <w:rsid w:val="00712154"/>
    <w:rsid w:val="00760F03"/>
    <w:rsid w:val="00792BB1"/>
    <w:rsid w:val="007C4754"/>
    <w:rsid w:val="007E03C0"/>
    <w:rsid w:val="008415CD"/>
    <w:rsid w:val="00853085"/>
    <w:rsid w:val="008D59AB"/>
    <w:rsid w:val="008F0FE1"/>
    <w:rsid w:val="00905575"/>
    <w:rsid w:val="00937C84"/>
    <w:rsid w:val="009512DB"/>
    <w:rsid w:val="009514C3"/>
    <w:rsid w:val="009A3545"/>
    <w:rsid w:val="009E26FB"/>
    <w:rsid w:val="00A4220C"/>
    <w:rsid w:val="00A52635"/>
    <w:rsid w:val="00A649AF"/>
    <w:rsid w:val="00A972AC"/>
    <w:rsid w:val="00AE288F"/>
    <w:rsid w:val="00B07C95"/>
    <w:rsid w:val="00B12ADA"/>
    <w:rsid w:val="00B22A98"/>
    <w:rsid w:val="00B422E1"/>
    <w:rsid w:val="00BB1744"/>
    <w:rsid w:val="00BE7A48"/>
    <w:rsid w:val="00CA50E8"/>
    <w:rsid w:val="00CB2BFB"/>
    <w:rsid w:val="00CC4D68"/>
    <w:rsid w:val="00D44EA8"/>
    <w:rsid w:val="00D71022"/>
    <w:rsid w:val="00E03456"/>
    <w:rsid w:val="00E24E89"/>
    <w:rsid w:val="00EA39BA"/>
    <w:rsid w:val="00ED22D6"/>
    <w:rsid w:val="00F25DDA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114A4"/>
  <w15:chartTrackingRefBased/>
  <w15:docId w15:val="{0EFB0E5B-DFC1-4F29-91A6-202B6BE3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22"/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7C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085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5">
    <w:name w:val="页眉 字符"/>
    <w:basedOn w:val="a0"/>
    <w:link w:val="a4"/>
    <w:uiPriority w:val="99"/>
    <w:rsid w:val="008530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308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7">
    <w:name w:val="页脚 字符"/>
    <w:basedOn w:val="a0"/>
    <w:link w:val="a6"/>
    <w:uiPriority w:val="99"/>
    <w:rsid w:val="00853085"/>
    <w:rPr>
      <w:sz w:val="18"/>
      <w:szCs w:val="18"/>
    </w:rPr>
  </w:style>
  <w:style w:type="paragraph" w:styleId="a8">
    <w:name w:val="List Paragraph"/>
    <w:basedOn w:val="a"/>
    <w:uiPriority w:val="34"/>
    <w:qFormat/>
    <w:rsid w:val="00ED22D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470C80"/>
    <w:pPr>
      <w:spacing w:before="100" w:beforeAutospacing="1" w:after="100" w:afterAutospacing="1"/>
    </w:pPr>
  </w:style>
  <w:style w:type="character" w:customStyle="1" w:styleId="10">
    <w:name w:val="标题 1 字符"/>
    <w:basedOn w:val="a0"/>
    <w:link w:val="1"/>
    <w:uiPriority w:val="9"/>
    <w:rsid w:val="00017C34"/>
    <w:rPr>
      <w:rFonts w:ascii="宋体" w:eastAsia="宋体" w:hAnsi="宋体" w:cs="宋体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1840</Words>
  <Characters>11407</Characters>
  <Application>Microsoft Office Word</Application>
  <DocSecurity>0</DocSecurity>
  <Lines>681</Lines>
  <Paragraphs>592</Paragraphs>
  <ScaleCrop>false</ScaleCrop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fanwei Meng</dc:creator>
  <cp:keywords/>
  <dc:description/>
  <cp:lastModifiedBy>fanwei Meng</cp:lastModifiedBy>
  <cp:revision>3</cp:revision>
  <dcterms:created xsi:type="dcterms:W3CDTF">2024-06-03T16:27:00Z</dcterms:created>
  <dcterms:modified xsi:type="dcterms:W3CDTF">2024-06-06T10:39:00Z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3de900b553f595da6c13e6a68f2975e4022b663080f20dc2decdcf39501f672a</vt:lpwstr>
  </property>
</Properties>
</file>